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01B0" w14:textId="77777777" w:rsidR="00E96702" w:rsidRPr="002D7DED" w:rsidRDefault="00E96702"/>
    <w:p w14:paraId="741276EE" w14:textId="77777777" w:rsidR="00E96702" w:rsidRDefault="00E96702"/>
    <w:p w14:paraId="036978EF" w14:textId="77777777" w:rsidR="00E96702" w:rsidRDefault="00E96702"/>
    <w:p w14:paraId="00510EAB" w14:textId="77777777" w:rsidR="00E96702" w:rsidRDefault="00E96702"/>
    <w:p w14:paraId="40AC5F2F" w14:textId="77777777" w:rsidR="00E96702" w:rsidRDefault="00E96702"/>
    <w:p w14:paraId="2FCC563C" w14:textId="77777777" w:rsidR="00E96702" w:rsidRDefault="00E96702"/>
    <w:p w14:paraId="4D14FA96" w14:textId="77777777" w:rsidR="00E96702" w:rsidRDefault="00E96702"/>
    <w:p w14:paraId="38DE2E93" w14:textId="77777777" w:rsidR="00E96702" w:rsidRDefault="00E96702"/>
    <w:p w14:paraId="3EAD8E53" w14:textId="77777777" w:rsidR="00E96702" w:rsidRDefault="00E96702"/>
    <w:p w14:paraId="2339E696" w14:textId="77777777" w:rsidR="00E96702" w:rsidRDefault="00E96702"/>
    <w:p w14:paraId="7F4FD990" w14:textId="77777777" w:rsidR="00E96702" w:rsidRDefault="00E96702"/>
    <w:p w14:paraId="355A57AF" w14:textId="77777777" w:rsidR="00E96702" w:rsidRDefault="00E96702"/>
    <w:p w14:paraId="65E29D7A" w14:textId="77777777" w:rsidR="00E96702" w:rsidRDefault="00E96702"/>
    <w:p w14:paraId="41C04768" w14:textId="77777777" w:rsidR="00E96702" w:rsidRDefault="00E96702"/>
    <w:p w14:paraId="088044D0" w14:textId="77777777" w:rsidR="00E96702" w:rsidRDefault="00E96702"/>
    <w:p w14:paraId="3BDCA5D9" w14:textId="77777777" w:rsidR="00E96702" w:rsidRDefault="00E96702"/>
    <w:p w14:paraId="1AD337D9" w14:textId="77777777" w:rsidR="00E96702" w:rsidRDefault="00E96702"/>
    <w:p w14:paraId="34123448" w14:textId="77777777" w:rsidR="00E96702" w:rsidRDefault="00E96702"/>
    <w:p w14:paraId="396C8DB1" w14:textId="77777777" w:rsidR="00E96702" w:rsidRDefault="00E96702"/>
    <w:p w14:paraId="1484897C" w14:textId="77777777" w:rsidR="00E96702" w:rsidRDefault="00E96702"/>
    <w:p w14:paraId="3B9B06C8" w14:textId="77777777" w:rsidR="00E96702" w:rsidRDefault="00E96702"/>
    <w:p w14:paraId="455FEAFE" w14:textId="77777777" w:rsidR="00D420A9" w:rsidRDefault="00D420A9"/>
    <w:p w14:paraId="0BC6DEEE" w14:textId="77777777" w:rsidR="00E96702" w:rsidRDefault="00E96702"/>
    <w:p w14:paraId="6762FCF7" w14:textId="77777777" w:rsidR="00E96702" w:rsidRDefault="0095540B" w:rsidP="00EC4F10">
      <w:pPr>
        <w:pStyle w:val="Title"/>
        <w:outlineLvl w:val="9"/>
      </w:pPr>
      <w:r>
        <w:t>ANEKS I</w:t>
      </w:r>
    </w:p>
    <w:p w14:paraId="5B8F8BE3" w14:textId="77777777" w:rsidR="00E96702" w:rsidRDefault="00E96702"/>
    <w:p w14:paraId="2CF65C7B" w14:textId="77777777" w:rsidR="00E96702" w:rsidRDefault="0095540B">
      <w:pPr>
        <w:pStyle w:val="TitleA"/>
      </w:pPr>
      <w:r>
        <w:t>CHARAKTERYSTYKA PRODUKTU LECZNICZEGO</w:t>
      </w:r>
    </w:p>
    <w:p w14:paraId="0246AC6F" w14:textId="77777777" w:rsidR="00E96702" w:rsidRDefault="0095540B">
      <w:r>
        <w:br w:type="page"/>
      </w:r>
    </w:p>
    <w:p w14:paraId="0A07368C" w14:textId="77777777" w:rsidR="00E96702" w:rsidRPr="00EC4F10" w:rsidRDefault="0095540B" w:rsidP="00EC4F10">
      <w:pPr>
        <w:rPr>
          <w:b/>
          <w:bCs/>
        </w:rPr>
      </w:pPr>
      <w:r w:rsidRPr="00EC4F10">
        <w:rPr>
          <w:b/>
          <w:bCs/>
        </w:rPr>
        <w:lastRenderedPageBreak/>
        <w:t>1.</w:t>
      </w:r>
      <w:r w:rsidRPr="00EC4F10">
        <w:rPr>
          <w:b/>
          <w:bCs/>
        </w:rPr>
        <w:tab/>
        <w:t>NAZWA PRODUKTU LECZNICZEGO</w:t>
      </w:r>
    </w:p>
    <w:p w14:paraId="51C43F99" w14:textId="77777777" w:rsidR="00E96702" w:rsidRDefault="00E96702">
      <w:pPr>
        <w:keepNext/>
      </w:pPr>
    </w:p>
    <w:p w14:paraId="70C8A6E6" w14:textId="77777777" w:rsidR="00E96702" w:rsidRDefault="0095540B">
      <w:r>
        <w:t>Vaxchora, proszek musujący i proszek do sporządzania zawiesiny doustnej</w:t>
      </w:r>
    </w:p>
    <w:p w14:paraId="5CB7A8FC" w14:textId="77777777" w:rsidR="00E96702" w:rsidRDefault="0095540B">
      <w:r>
        <w:t>Szczepionka przeciw cholerze (rekombinowana, żywa, doustna)</w:t>
      </w:r>
    </w:p>
    <w:p w14:paraId="0CDAA6E3" w14:textId="77777777" w:rsidR="00E96702" w:rsidRDefault="00E96702"/>
    <w:p w14:paraId="3B41160D" w14:textId="77777777" w:rsidR="00E96702" w:rsidRDefault="00E96702"/>
    <w:p w14:paraId="4AF7C46B" w14:textId="77777777" w:rsidR="00E96702" w:rsidRPr="00EC4F10" w:rsidRDefault="0095540B" w:rsidP="00EC4F10">
      <w:pPr>
        <w:rPr>
          <w:b/>
          <w:bCs/>
        </w:rPr>
      </w:pPr>
      <w:r w:rsidRPr="00EC4F10">
        <w:rPr>
          <w:b/>
          <w:bCs/>
        </w:rPr>
        <w:t>2.</w:t>
      </w:r>
      <w:r w:rsidRPr="00EC4F10">
        <w:rPr>
          <w:b/>
          <w:bCs/>
        </w:rPr>
        <w:tab/>
        <w:t>SKŁAD JAKOŚCIOWY I ILOŚCIOWY</w:t>
      </w:r>
    </w:p>
    <w:p w14:paraId="1E371297" w14:textId="77777777" w:rsidR="00E96702" w:rsidRDefault="00E96702">
      <w:pPr>
        <w:keepNext/>
      </w:pPr>
    </w:p>
    <w:p w14:paraId="41D0FCE7" w14:textId="4233FE87" w:rsidR="00E96702" w:rsidRDefault="0095540B">
      <w:r>
        <w:t>Każda dawka szczepionki zawiera od 4 ×</w:t>
      </w:r>
      <w:r w:rsidR="000850EA">
        <w:t> </w:t>
      </w:r>
      <w:r>
        <w:t>10</w:t>
      </w:r>
      <w:r>
        <w:rPr>
          <w:rStyle w:val="Superscript"/>
        </w:rPr>
        <w:t>8</w:t>
      </w:r>
      <w:r>
        <w:t xml:space="preserve"> do 2 ×</w:t>
      </w:r>
      <w:r w:rsidR="000850EA">
        <w:t> </w:t>
      </w:r>
      <w:r>
        <w:t>10</w:t>
      </w:r>
      <w:r>
        <w:rPr>
          <w:rStyle w:val="Superscript"/>
        </w:rPr>
        <w:t>9</w:t>
      </w:r>
      <w:r>
        <w:t xml:space="preserve"> żywotnych komórek żywego, atenuowanego szczepu CVD 103-HgR</w:t>
      </w:r>
      <w:r>
        <w:rPr>
          <w:rStyle w:val="Superscript"/>
        </w:rPr>
        <w:t>1</w:t>
      </w:r>
      <w:r>
        <w:t xml:space="preserve"> </w:t>
      </w:r>
      <w:r>
        <w:rPr>
          <w:rStyle w:val="Emphasis"/>
        </w:rPr>
        <w:t>Vibrio cholerae</w:t>
      </w:r>
      <w:r>
        <w:t>.</w:t>
      </w:r>
    </w:p>
    <w:p w14:paraId="146494D2" w14:textId="77777777" w:rsidR="00AB5665" w:rsidRDefault="00AB5665"/>
    <w:p w14:paraId="0982FFCA" w14:textId="77777777" w:rsidR="00E96702" w:rsidRDefault="0095540B">
      <w:r>
        <w:rPr>
          <w:rStyle w:val="Superscript"/>
        </w:rPr>
        <w:t>1</w:t>
      </w:r>
      <w:r>
        <w:t xml:space="preserve"> Wytworzono z zastosowaniem technologii rekombinacji DNA.</w:t>
      </w:r>
    </w:p>
    <w:p w14:paraId="019BA202" w14:textId="77777777" w:rsidR="00E96702" w:rsidRDefault="00E96702"/>
    <w:p w14:paraId="4AA2CDFD" w14:textId="77777777" w:rsidR="00E96702" w:rsidRDefault="0095540B">
      <w:r>
        <w:t xml:space="preserve">Produkt zawiera organizmy modyfikowane genetycznie (ang. </w:t>
      </w:r>
      <w:r>
        <w:rPr>
          <w:i/>
        </w:rPr>
        <w:t>genetically modified organism</w:t>
      </w:r>
      <w:r>
        <w:t>, GMO).</w:t>
      </w:r>
    </w:p>
    <w:p w14:paraId="62C543A4" w14:textId="77777777" w:rsidR="00E96702" w:rsidRDefault="00E96702"/>
    <w:p w14:paraId="3684E75F" w14:textId="5FB864FF" w:rsidR="00AB5665" w:rsidRPr="00A13F2C" w:rsidRDefault="0095540B" w:rsidP="00A13F2C">
      <w:pPr>
        <w:tabs>
          <w:tab w:val="left" w:pos="567"/>
        </w:tabs>
        <w:suppressAutoHyphens w:val="0"/>
        <w:rPr>
          <w:rFonts w:eastAsia="Times New Roman"/>
          <w:szCs w:val="20"/>
          <w:u w:val="single"/>
          <w:lang w:eastAsia="en-US"/>
        </w:rPr>
      </w:pPr>
      <w:r w:rsidRPr="00A13F2C">
        <w:rPr>
          <w:rFonts w:eastAsia="Times New Roman"/>
          <w:szCs w:val="20"/>
          <w:u w:val="single"/>
          <w:lang w:eastAsia="en-US"/>
        </w:rPr>
        <w:t>Substancje pomocnicze o znanym działaniu</w:t>
      </w:r>
    </w:p>
    <w:p w14:paraId="25B83C46" w14:textId="77777777" w:rsidR="00AB5665" w:rsidRPr="00A13F2C" w:rsidRDefault="00AB5665" w:rsidP="00A13F2C">
      <w:pPr>
        <w:tabs>
          <w:tab w:val="left" w:pos="567"/>
        </w:tabs>
        <w:suppressAutoHyphens w:val="0"/>
        <w:rPr>
          <w:rFonts w:eastAsia="Times New Roman"/>
          <w:szCs w:val="20"/>
          <w:u w:val="single"/>
          <w:lang w:eastAsia="en-US"/>
        </w:rPr>
      </w:pPr>
    </w:p>
    <w:p w14:paraId="44C0E2FD" w14:textId="6E790218" w:rsidR="00E96702" w:rsidRPr="00A13F2C" w:rsidRDefault="00AB5665" w:rsidP="00A13F2C">
      <w:pPr>
        <w:tabs>
          <w:tab w:val="left" w:pos="567"/>
        </w:tabs>
        <w:suppressAutoHyphens w:val="0"/>
        <w:rPr>
          <w:rFonts w:eastAsia="Times New Roman"/>
          <w:szCs w:val="20"/>
          <w:lang w:eastAsia="en-US"/>
        </w:rPr>
      </w:pPr>
      <w:r w:rsidRPr="00A13F2C">
        <w:rPr>
          <w:rFonts w:eastAsia="Times New Roman"/>
          <w:szCs w:val="20"/>
          <w:lang w:eastAsia="en-US"/>
        </w:rPr>
        <w:t>K</w:t>
      </w:r>
      <w:r w:rsidR="0095540B" w:rsidRPr="00A13F2C">
        <w:rPr>
          <w:rFonts w:eastAsia="Times New Roman"/>
          <w:szCs w:val="20"/>
          <w:lang w:eastAsia="en-US"/>
        </w:rPr>
        <w:t xml:space="preserve">ażda dawka szczepionki zawiera </w:t>
      </w:r>
      <w:r w:rsidRPr="00A13F2C">
        <w:rPr>
          <w:rFonts w:eastAsia="Times New Roman"/>
          <w:szCs w:val="20"/>
          <w:lang w:eastAsia="en-US"/>
        </w:rPr>
        <w:t xml:space="preserve">około 2,3 grama </w:t>
      </w:r>
      <w:r w:rsidR="0095540B" w:rsidRPr="00A13F2C">
        <w:rPr>
          <w:rFonts w:eastAsia="Times New Roman"/>
          <w:szCs w:val="20"/>
          <w:lang w:eastAsia="en-US"/>
        </w:rPr>
        <w:t>laktoz</w:t>
      </w:r>
      <w:r w:rsidRPr="00A13F2C">
        <w:rPr>
          <w:rFonts w:eastAsia="Times New Roman"/>
          <w:szCs w:val="20"/>
          <w:lang w:eastAsia="en-US"/>
        </w:rPr>
        <w:t>y</w:t>
      </w:r>
      <w:r w:rsidR="0095540B" w:rsidRPr="00A13F2C">
        <w:rPr>
          <w:rFonts w:eastAsia="Times New Roman"/>
          <w:szCs w:val="20"/>
          <w:lang w:eastAsia="en-US"/>
        </w:rPr>
        <w:t xml:space="preserve">, </w:t>
      </w:r>
      <w:r w:rsidRPr="00A13F2C">
        <w:rPr>
          <w:rFonts w:eastAsia="Times New Roman"/>
          <w:szCs w:val="20"/>
          <w:lang w:eastAsia="en-US"/>
        </w:rPr>
        <w:t>12,5 miligram</w:t>
      </w:r>
      <w:r w:rsidR="007E2617" w:rsidRPr="00A13F2C">
        <w:rPr>
          <w:rFonts w:eastAsia="Times New Roman"/>
          <w:szCs w:val="20"/>
          <w:lang w:eastAsia="en-US"/>
        </w:rPr>
        <w:t>a</w:t>
      </w:r>
      <w:r w:rsidRPr="00A13F2C">
        <w:rPr>
          <w:rFonts w:eastAsia="Times New Roman"/>
          <w:szCs w:val="20"/>
          <w:lang w:eastAsia="en-US"/>
        </w:rPr>
        <w:t xml:space="preserve"> </w:t>
      </w:r>
      <w:r w:rsidR="0095540B" w:rsidRPr="00A13F2C">
        <w:rPr>
          <w:rFonts w:eastAsia="Times New Roman"/>
          <w:szCs w:val="20"/>
          <w:lang w:eastAsia="en-US"/>
        </w:rPr>
        <w:t>sacharoz</w:t>
      </w:r>
      <w:r w:rsidRPr="00A13F2C">
        <w:rPr>
          <w:rFonts w:eastAsia="Times New Roman"/>
          <w:szCs w:val="20"/>
          <w:lang w:eastAsia="en-US"/>
        </w:rPr>
        <w:t>y</w:t>
      </w:r>
      <w:r w:rsidR="0095540B" w:rsidRPr="00A13F2C">
        <w:rPr>
          <w:rFonts w:eastAsia="Times New Roman"/>
          <w:szCs w:val="20"/>
          <w:lang w:eastAsia="en-US"/>
        </w:rPr>
        <w:t xml:space="preserve"> i 863</w:t>
      </w:r>
      <w:r w:rsidRPr="00A13F2C">
        <w:rPr>
          <w:rFonts w:eastAsia="Times New Roman"/>
          <w:szCs w:val="20"/>
          <w:lang w:eastAsia="en-US"/>
        </w:rPr>
        <w:t> </w:t>
      </w:r>
      <w:r w:rsidR="0095540B" w:rsidRPr="00A13F2C">
        <w:rPr>
          <w:rFonts w:eastAsia="Times New Roman"/>
          <w:szCs w:val="20"/>
          <w:lang w:eastAsia="en-US"/>
        </w:rPr>
        <w:t>miligramów sodu.</w:t>
      </w:r>
    </w:p>
    <w:p w14:paraId="36D0D9C7" w14:textId="77777777" w:rsidR="00E96702" w:rsidRDefault="00E96702"/>
    <w:p w14:paraId="053F8748" w14:textId="77777777" w:rsidR="00E96702" w:rsidRDefault="0095540B">
      <w:r>
        <w:t>Pełny wykaz substancji pomocniczych, patrz punkt 6.1.</w:t>
      </w:r>
    </w:p>
    <w:p w14:paraId="71357C6A" w14:textId="77777777" w:rsidR="00E96702" w:rsidRDefault="00E96702"/>
    <w:p w14:paraId="2BF2F59B" w14:textId="77777777" w:rsidR="00E96702" w:rsidRDefault="00E96702"/>
    <w:p w14:paraId="22C501F8" w14:textId="77777777" w:rsidR="00E96702" w:rsidRPr="00EC4F10" w:rsidRDefault="0095540B" w:rsidP="00EC4F10">
      <w:pPr>
        <w:rPr>
          <w:b/>
          <w:bCs/>
        </w:rPr>
      </w:pPr>
      <w:r w:rsidRPr="00EC4F10">
        <w:rPr>
          <w:b/>
          <w:bCs/>
        </w:rPr>
        <w:t>3.</w:t>
      </w:r>
      <w:r w:rsidRPr="00EC4F10">
        <w:rPr>
          <w:b/>
          <w:bCs/>
        </w:rPr>
        <w:tab/>
        <w:t>POSTAĆ FARMACEUTYCZNA</w:t>
      </w:r>
    </w:p>
    <w:p w14:paraId="7AE94595" w14:textId="77777777" w:rsidR="00E96702" w:rsidRDefault="00E96702">
      <w:pPr>
        <w:keepNext/>
      </w:pPr>
    </w:p>
    <w:p w14:paraId="621F51B3" w14:textId="77777777" w:rsidR="00E96702" w:rsidRDefault="0095540B">
      <w:r>
        <w:t>Proszek musujący i proszek do sporządzania zawiesiny doustnej.</w:t>
      </w:r>
    </w:p>
    <w:p w14:paraId="668E2182" w14:textId="342E52EF" w:rsidR="00E96702" w:rsidRDefault="0095540B">
      <w:r>
        <w:t>Bufor w proszku barwy białej lub białawej i substancja czynna w proszku barwy białej lub beżowej.</w:t>
      </w:r>
    </w:p>
    <w:p w14:paraId="75A85E20" w14:textId="77777777" w:rsidR="00E96702" w:rsidRDefault="00E96702"/>
    <w:p w14:paraId="572FF306" w14:textId="77777777" w:rsidR="00E96702" w:rsidRDefault="00E96702"/>
    <w:p w14:paraId="658B21B1" w14:textId="77777777" w:rsidR="00E96702" w:rsidRPr="00EC4F10" w:rsidRDefault="0095540B" w:rsidP="00EC4F10">
      <w:pPr>
        <w:rPr>
          <w:b/>
          <w:bCs/>
        </w:rPr>
      </w:pPr>
      <w:r w:rsidRPr="00EC4F10">
        <w:rPr>
          <w:b/>
          <w:bCs/>
        </w:rPr>
        <w:t>4.</w:t>
      </w:r>
      <w:r w:rsidRPr="00EC4F10">
        <w:rPr>
          <w:b/>
          <w:bCs/>
        </w:rPr>
        <w:tab/>
        <w:t>SZCZEGÓŁOWE DANE KLINICZNE</w:t>
      </w:r>
    </w:p>
    <w:p w14:paraId="25986E73" w14:textId="77777777" w:rsidR="00E96702" w:rsidRDefault="00E96702">
      <w:pPr>
        <w:keepNext/>
      </w:pPr>
    </w:p>
    <w:p w14:paraId="63D201E0" w14:textId="77777777" w:rsidR="00E96702" w:rsidRPr="00EC4F10" w:rsidRDefault="0095540B" w:rsidP="00EC4F10">
      <w:pPr>
        <w:rPr>
          <w:b/>
          <w:bCs/>
        </w:rPr>
      </w:pPr>
      <w:r w:rsidRPr="00EC4F10">
        <w:rPr>
          <w:b/>
          <w:bCs/>
        </w:rPr>
        <w:t>4.1</w:t>
      </w:r>
      <w:r w:rsidRPr="00EC4F10">
        <w:rPr>
          <w:b/>
          <w:bCs/>
        </w:rPr>
        <w:tab/>
        <w:t>Wskazania do stosowania</w:t>
      </w:r>
    </w:p>
    <w:p w14:paraId="0A9ECEE3" w14:textId="77777777" w:rsidR="00E96702" w:rsidRDefault="00E96702">
      <w:pPr>
        <w:keepNext/>
      </w:pPr>
    </w:p>
    <w:p w14:paraId="09738C25" w14:textId="7F90E36C" w:rsidR="00E96702" w:rsidRDefault="0095540B">
      <w:r>
        <w:t>Szczepionka Vaxchora jest wskazana do</w:t>
      </w:r>
      <w:r w:rsidR="008A6F63">
        <w:t xml:space="preserve"> stosowania w celu</w:t>
      </w:r>
      <w:r>
        <w:t xml:space="preserve"> czynnego uodparniania </w:t>
      </w:r>
      <w:r w:rsidR="00E4231D" w:rsidRPr="00E4231D">
        <w:t>dorosłych</w:t>
      </w:r>
      <w:r w:rsidR="006932CC">
        <w:t xml:space="preserve"> oraz dzieci w wieku od 2 lat </w:t>
      </w:r>
      <w:r>
        <w:t xml:space="preserve">przeciwko chorobie powodowanej przez serogrupę O1 </w:t>
      </w:r>
      <w:r>
        <w:rPr>
          <w:rStyle w:val="Emphasis"/>
        </w:rPr>
        <w:t>Vibrio cholerae</w:t>
      </w:r>
      <w:r>
        <w:t xml:space="preserve"> .</w:t>
      </w:r>
    </w:p>
    <w:p w14:paraId="30D42B54" w14:textId="77777777" w:rsidR="00E96702" w:rsidRDefault="00E96702"/>
    <w:p w14:paraId="568EFEB8" w14:textId="77777777" w:rsidR="00E96702" w:rsidRDefault="0095540B">
      <w:r>
        <w:t>Szczepionki tej należy używać zgodnie z oficjalnymi zaleceniami.</w:t>
      </w:r>
    </w:p>
    <w:p w14:paraId="46CEC471" w14:textId="77777777" w:rsidR="00E96702" w:rsidRDefault="00E96702"/>
    <w:p w14:paraId="0552F69A" w14:textId="77777777" w:rsidR="00E96702" w:rsidRPr="00EC4F10" w:rsidRDefault="0095540B" w:rsidP="00EC4F10">
      <w:pPr>
        <w:rPr>
          <w:b/>
          <w:bCs/>
        </w:rPr>
      </w:pPr>
      <w:r w:rsidRPr="00EC4F10">
        <w:rPr>
          <w:b/>
          <w:bCs/>
        </w:rPr>
        <w:t>4.2</w:t>
      </w:r>
      <w:r w:rsidRPr="00EC4F10">
        <w:rPr>
          <w:b/>
          <w:bCs/>
        </w:rPr>
        <w:tab/>
        <w:t>Dawkowanie i sposób podawania</w:t>
      </w:r>
    </w:p>
    <w:p w14:paraId="5ACB135D" w14:textId="77777777" w:rsidR="00E96702" w:rsidRDefault="00E96702">
      <w:pPr>
        <w:keepNext/>
      </w:pPr>
    </w:p>
    <w:p w14:paraId="3BB2B113" w14:textId="77777777" w:rsidR="00E96702" w:rsidRDefault="0095540B">
      <w:pPr>
        <w:pStyle w:val="HeadingUnderlined"/>
      </w:pPr>
      <w:r>
        <w:t>Dawkowanie</w:t>
      </w:r>
    </w:p>
    <w:p w14:paraId="513FFB05" w14:textId="77777777" w:rsidR="00E96702" w:rsidRDefault="00E96702"/>
    <w:p w14:paraId="1E8DD5D8" w14:textId="7471B5B8" w:rsidR="00E96702" w:rsidRPr="008B0804" w:rsidRDefault="0052791E">
      <w:pPr>
        <w:pStyle w:val="HeadingStrongEmphasis"/>
      </w:pPr>
      <w:r w:rsidRPr="00A13F2C">
        <w:rPr>
          <w:b w:val="0"/>
          <w:bCs w:val="0"/>
        </w:rPr>
        <w:t>Dorośli</w:t>
      </w:r>
      <w:r w:rsidR="0095540B" w:rsidRPr="00A13F2C">
        <w:rPr>
          <w:b w:val="0"/>
          <w:bCs w:val="0"/>
        </w:rPr>
        <w:t xml:space="preserve"> i dzieci w</w:t>
      </w:r>
      <w:r w:rsidR="000850EA">
        <w:rPr>
          <w:b w:val="0"/>
          <w:bCs w:val="0"/>
        </w:rPr>
        <w:t> </w:t>
      </w:r>
      <w:r w:rsidR="0095540B" w:rsidRPr="00A13F2C">
        <w:rPr>
          <w:b w:val="0"/>
          <w:bCs w:val="0"/>
        </w:rPr>
        <w:t xml:space="preserve">wieku od </w:t>
      </w:r>
      <w:r w:rsidR="00932912" w:rsidRPr="00A13F2C">
        <w:rPr>
          <w:b w:val="0"/>
          <w:bCs w:val="0"/>
        </w:rPr>
        <w:t>2 </w:t>
      </w:r>
      <w:r w:rsidR="0095540B" w:rsidRPr="00A13F2C">
        <w:rPr>
          <w:b w:val="0"/>
          <w:bCs w:val="0"/>
        </w:rPr>
        <w:t>lat</w:t>
      </w:r>
    </w:p>
    <w:p w14:paraId="42518FF1" w14:textId="77777777" w:rsidR="00E96702" w:rsidRDefault="00E96702"/>
    <w:p w14:paraId="4E0BED89" w14:textId="49554E0D" w:rsidR="00E96702" w:rsidRDefault="0095540B">
      <w:r>
        <w:t xml:space="preserve">Jedną dawkę należy podać doustnie co najmniej 10 dni przed potencjalną ekspozycją na serogrupę O1 </w:t>
      </w:r>
      <w:r>
        <w:rPr>
          <w:rStyle w:val="Emphasis"/>
        </w:rPr>
        <w:t>V</w:t>
      </w:r>
      <w:r w:rsidR="0052791E">
        <w:rPr>
          <w:rStyle w:val="Emphasis"/>
        </w:rPr>
        <w:t>ibrio</w:t>
      </w:r>
      <w:r>
        <w:rPr>
          <w:rStyle w:val="Emphasis"/>
        </w:rPr>
        <w:t xml:space="preserve"> cholerae</w:t>
      </w:r>
      <w:r>
        <w:t>.</w:t>
      </w:r>
    </w:p>
    <w:p w14:paraId="4221D3AC" w14:textId="587D4FE0" w:rsidR="00D92EE2" w:rsidRDefault="00D92EE2" w:rsidP="00D92EE2">
      <w:r>
        <w:t xml:space="preserve">Przyjęcie mniej niż połowy dawki może spowodować zmniejszenie ochrony. Jeśli zostanie przyjęta mniej niż połowa dawki, należy rozważyć ponowne podanie pełnej dawki produktu leczniczego </w:t>
      </w:r>
      <w:r w:rsidRPr="009A56F5">
        <w:t>Vaxchora w</w:t>
      </w:r>
      <w:r>
        <w:t xml:space="preserve"> ciągu </w:t>
      </w:r>
      <w:r w:rsidRPr="009A56F5">
        <w:t>72</w:t>
      </w:r>
      <w:r>
        <w:t> godzin</w:t>
      </w:r>
      <w:r w:rsidRPr="009A56F5">
        <w:t>.</w:t>
      </w:r>
    </w:p>
    <w:p w14:paraId="5486A59F" w14:textId="77777777" w:rsidR="0052791E" w:rsidRDefault="0052791E"/>
    <w:p w14:paraId="5564C8CC" w14:textId="77777777" w:rsidR="00E96702" w:rsidRPr="00A13F2C" w:rsidRDefault="0095540B">
      <w:pPr>
        <w:pStyle w:val="HeadingStrongEmphasis"/>
        <w:rPr>
          <w:b w:val="0"/>
        </w:rPr>
      </w:pPr>
      <w:r w:rsidRPr="00A13F2C">
        <w:rPr>
          <w:b w:val="0"/>
        </w:rPr>
        <w:t>Ponowne szczepienie</w:t>
      </w:r>
    </w:p>
    <w:p w14:paraId="16781813" w14:textId="77777777" w:rsidR="00E96702" w:rsidRDefault="00E96702"/>
    <w:p w14:paraId="18403BD7" w14:textId="68A02C73" w:rsidR="00E96702" w:rsidRDefault="00226346">
      <w:r>
        <w:t>D</w:t>
      </w:r>
      <w:r w:rsidR="0095540B">
        <w:t>ane dotyczące czasu, jaki powinien upłynąć do ponownego szczepienia</w:t>
      </w:r>
      <w:r>
        <w:t>, nie są dostępne</w:t>
      </w:r>
      <w:r w:rsidR="0095540B">
        <w:t>.</w:t>
      </w:r>
    </w:p>
    <w:p w14:paraId="73445DA7" w14:textId="77777777" w:rsidR="00E96702" w:rsidRDefault="00E96702"/>
    <w:p w14:paraId="20C9B280" w14:textId="77777777" w:rsidR="00E96702" w:rsidRDefault="0095540B">
      <w:pPr>
        <w:pStyle w:val="HeadingEmphasis"/>
      </w:pPr>
      <w:r>
        <w:t>Dzieci i młodzież</w:t>
      </w:r>
    </w:p>
    <w:p w14:paraId="74D1A274" w14:textId="77777777" w:rsidR="00E96702" w:rsidRDefault="00E96702"/>
    <w:p w14:paraId="295220B2" w14:textId="77777777" w:rsidR="00E96702" w:rsidRDefault="0095540B">
      <w:r>
        <w:lastRenderedPageBreak/>
        <w:t xml:space="preserve">Nie określono bezpieczeństwa stosowania ani skuteczności produktu leczniczego Vaxchora u dzieci w wieku poniżej </w:t>
      </w:r>
      <w:r w:rsidR="009C64A7">
        <w:t>2 </w:t>
      </w:r>
      <w:r>
        <w:t>lat. Dane nie są dostępne.</w:t>
      </w:r>
    </w:p>
    <w:p w14:paraId="4EBD1D83" w14:textId="77777777" w:rsidR="00E96702" w:rsidRDefault="00E96702"/>
    <w:p w14:paraId="4822040E" w14:textId="77777777" w:rsidR="00E96702" w:rsidRDefault="0095540B">
      <w:pPr>
        <w:pStyle w:val="HeadingUnderlined"/>
      </w:pPr>
      <w:r>
        <w:t>Sposób podawania</w:t>
      </w:r>
    </w:p>
    <w:p w14:paraId="5C026247" w14:textId="77777777" w:rsidR="00E96702" w:rsidRDefault="00E96702"/>
    <w:p w14:paraId="62812BC9" w14:textId="77777777" w:rsidR="00E96702" w:rsidRDefault="0095540B">
      <w:r>
        <w:t>Podanie doustne.</w:t>
      </w:r>
    </w:p>
    <w:p w14:paraId="1079B0BD" w14:textId="77777777" w:rsidR="00E96702" w:rsidRDefault="00E96702"/>
    <w:p w14:paraId="277DF9A9" w14:textId="77777777" w:rsidR="00E96702" w:rsidRDefault="0095540B">
      <w:r>
        <w:t>Instrukcja dotycząca rekonstytucji produktu leczniczego Vaxchora przed podaniem, patrz punkt 6.6.</w:t>
      </w:r>
    </w:p>
    <w:p w14:paraId="26DF884F" w14:textId="77777777" w:rsidR="00E96702" w:rsidRDefault="00E96702"/>
    <w:p w14:paraId="2D4FD888" w14:textId="2AD29981" w:rsidR="009B6B80" w:rsidRDefault="0095540B">
      <w:r>
        <w:t xml:space="preserve">Nie należy spożywać posiłków i przyjmować płynów 60 minut przed doustnym przyjęciem </w:t>
      </w:r>
      <w:r w:rsidR="009B6B80">
        <w:t>tej szczepionki</w:t>
      </w:r>
      <w:r>
        <w:t xml:space="preserve"> oraz przez 60 minut po </w:t>
      </w:r>
      <w:r w:rsidR="006932CC">
        <w:t xml:space="preserve">jej </w:t>
      </w:r>
      <w:r>
        <w:t>przyjęciu.</w:t>
      </w:r>
    </w:p>
    <w:p w14:paraId="674AD002" w14:textId="4B4B8F58" w:rsidR="00E96702" w:rsidRDefault="0095540B" w:rsidP="009B6B80">
      <w:r>
        <w:t>Po rekonstytucji szczepionka jest lekko mętną zawiesiną, która może zawierać pewną ilość białych cząstek stałych. Po rekonstytucji zawiesinę należy wypić w ciągu 15 minut. Osoba przyjmująca szczepionkę powinna wypić na raz całą zawartość kubka.</w:t>
      </w:r>
    </w:p>
    <w:p w14:paraId="3C1AC8EC" w14:textId="77777777" w:rsidR="00E96702" w:rsidRDefault="00E96702"/>
    <w:p w14:paraId="6A9AEAA9" w14:textId="77777777" w:rsidR="00E96702" w:rsidRPr="00EC4F10" w:rsidRDefault="0095540B" w:rsidP="00EC4F10">
      <w:pPr>
        <w:rPr>
          <w:b/>
          <w:bCs/>
        </w:rPr>
      </w:pPr>
      <w:r w:rsidRPr="00EC4F10">
        <w:rPr>
          <w:b/>
          <w:bCs/>
        </w:rPr>
        <w:t>4.3</w:t>
      </w:r>
      <w:r w:rsidRPr="00EC4F10">
        <w:rPr>
          <w:b/>
          <w:bCs/>
        </w:rPr>
        <w:tab/>
        <w:t>Przeciwwskazania</w:t>
      </w:r>
    </w:p>
    <w:p w14:paraId="542948EF" w14:textId="77777777" w:rsidR="00E96702" w:rsidRDefault="00E96702">
      <w:pPr>
        <w:keepNext/>
      </w:pPr>
    </w:p>
    <w:p w14:paraId="4EDFD61C" w14:textId="77777777" w:rsidR="00E96702" w:rsidRDefault="0095540B">
      <w:r>
        <w:t>Nadwrażliwość na substancję czynną lub na którąkolwiek substancję pomocniczą wymienioną w punkcie 6.1.</w:t>
      </w:r>
    </w:p>
    <w:p w14:paraId="7C25CF7A" w14:textId="77777777" w:rsidR="00E96702" w:rsidRDefault="00E96702"/>
    <w:p w14:paraId="5DFB4454" w14:textId="1657FF06" w:rsidR="00E96702" w:rsidRDefault="0095540B">
      <w:r>
        <w:t>Wrodzony niedobór odporności lub stosowanie terapii</w:t>
      </w:r>
      <w:r w:rsidR="00036EFF">
        <w:t xml:space="preserve"> immunosupresyjnej</w:t>
      </w:r>
      <w:r>
        <w:t>.</w:t>
      </w:r>
    </w:p>
    <w:p w14:paraId="0B794421" w14:textId="77777777" w:rsidR="00E96702" w:rsidRDefault="00E96702"/>
    <w:p w14:paraId="463751E5" w14:textId="77777777" w:rsidR="00E96702" w:rsidRPr="00EC4F10" w:rsidRDefault="0095540B" w:rsidP="00EC4F10">
      <w:pPr>
        <w:rPr>
          <w:b/>
          <w:bCs/>
        </w:rPr>
      </w:pPr>
      <w:r w:rsidRPr="00EC4F10">
        <w:rPr>
          <w:b/>
          <w:bCs/>
        </w:rPr>
        <w:t>4.4</w:t>
      </w:r>
      <w:r w:rsidRPr="00EC4F10">
        <w:rPr>
          <w:b/>
          <w:bCs/>
        </w:rPr>
        <w:tab/>
        <w:t>Specjalne ostrzeżenia i środki ostrożności dotyczące stosowania</w:t>
      </w:r>
    </w:p>
    <w:p w14:paraId="534DA8F7" w14:textId="77777777" w:rsidR="00E96702" w:rsidRDefault="00E96702"/>
    <w:p w14:paraId="6557DF59" w14:textId="77777777" w:rsidR="00E96702" w:rsidRDefault="0095540B">
      <w:pPr>
        <w:pStyle w:val="HeadingUnderlined"/>
      </w:pPr>
      <w:r>
        <w:t>Identyfikowalność</w:t>
      </w:r>
    </w:p>
    <w:p w14:paraId="77204E71" w14:textId="77777777" w:rsidR="00E96702" w:rsidRDefault="00E96702">
      <w:pPr>
        <w:keepNext/>
      </w:pPr>
    </w:p>
    <w:p w14:paraId="2D6E4195" w14:textId="77777777" w:rsidR="00E96702" w:rsidRDefault="0095540B">
      <w:r>
        <w:t>W celu poprawienia identyfikowalności biologicznych produktów leczniczych należy czytelnie zapisać nazwę i numer serii podawanego produktu.</w:t>
      </w:r>
    </w:p>
    <w:p w14:paraId="79D6C6C5" w14:textId="77777777" w:rsidR="00E96702" w:rsidRDefault="00E96702"/>
    <w:p w14:paraId="3F946502" w14:textId="77777777" w:rsidR="00E96702" w:rsidRDefault="0095540B">
      <w:pPr>
        <w:pStyle w:val="HeadingUnderlined"/>
      </w:pPr>
      <w:r>
        <w:t>Czynniki wpływające na odporność</w:t>
      </w:r>
    </w:p>
    <w:p w14:paraId="3AF3D7DE" w14:textId="77777777" w:rsidR="00E96702" w:rsidRDefault="00E96702">
      <w:pPr>
        <w:keepNext/>
      </w:pPr>
    </w:p>
    <w:p w14:paraId="37AD26D5" w14:textId="48DF44D3" w:rsidR="00E96702" w:rsidRDefault="0095540B">
      <w:r>
        <w:t xml:space="preserve">Produkt leczniczy Vaxchora zapewnia swoistą ochronę przed zakażeniem serogrupą O1 </w:t>
      </w:r>
      <w:r>
        <w:rPr>
          <w:rStyle w:val="Emphasis"/>
        </w:rPr>
        <w:t>Vibrio cholerae</w:t>
      </w:r>
      <w:r>
        <w:t xml:space="preserve">. Szczepienie nie chroni przed zakażeniem serogrupą O139 </w:t>
      </w:r>
      <w:r>
        <w:rPr>
          <w:i/>
        </w:rPr>
        <w:t>V</w:t>
      </w:r>
      <w:r w:rsidR="009B6B80">
        <w:rPr>
          <w:i/>
        </w:rPr>
        <w:t>ibrio</w:t>
      </w:r>
      <w:r>
        <w:rPr>
          <w:i/>
        </w:rPr>
        <w:t xml:space="preserve"> cholerae</w:t>
      </w:r>
      <w:r>
        <w:t xml:space="preserve"> ani innymi gatunkami rodzaju </w:t>
      </w:r>
      <w:r>
        <w:rPr>
          <w:rStyle w:val="Emphasis"/>
        </w:rPr>
        <w:t>Vibrio</w:t>
      </w:r>
      <w:r>
        <w:t>.</w:t>
      </w:r>
    </w:p>
    <w:p w14:paraId="08B7824A" w14:textId="77777777" w:rsidR="00E96702" w:rsidRDefault="00E96702"/>
    <w:p w14:paraId="030DFA3F" w14:textId="38601C9B" w:rsidR="00E96702" w:rsidRDefault="009B6B80">
      <w:r>
        <w:t>Ta szczepionka</w:t>
      </w:r>
      <w:r w:rsidR="0095540B">
        <w:t xml:space="preserve"> nie gwarantuje 100% ochrony. Osoby zaszczepione powinny przestrzegać zaleceń dotyczących higieny i zachowywać ostrożność pod względem spożywania pokarmów i picia wody w regionach występowania zachorowań na cholerę.</w:t>
      </w:r>
    </w:p>
    <w:p w14:paraId="4A46008D" w14:textId="77777777" w:rsidR="00E96702" w:rsidRDefault="00E96702"/>
    <w:p w14:paraId="7A900DDE" w14:textId="5A364ADC" w:rsidR="00E96702" w:rsidRDefault="00052B84">
      <w:r>
        <w:t>D</w:t>
      </w:r>
      <w:r w:rsidR="0095540B">
        <w:t>ane dotyczące osób żyjących w regionach występowania zachorowań na cholerę ani osób z istniejącą wcześniej odpornością na cholerę</w:t>
      </w:r>
      <w:r>
        <w:t xml:space="preserve"> nie są dostępne</w:t>
      </w:r>
      <w:r w:rsidR="0095540B">
        <w:t>.</w:t>
      </w:r>
    </w:p>
    <w:p w14:paraId="0370FD08" w14:textId="77777777" w:rsidR="00E96702" w:rsidRDefault="00E96702"/>
    <w:p w14:paraId="20A7C74B" w14:textId="6FE2D0FB" w:rsidR="00E96702" w:rsidRDefault="0095540B">
      <w:r>
        <w:t xml:space="preserve">Ochrona zapewniana przez </w:t>
      </w:r>
      <w:r w:rsidR="009B6B80">
        <w:t>tę szczepionkę</w:t>
      </w:r>
      <w:r>
        <w:t xml:space="preserve"> może być obniżona u osób zakażonych wirusem HIV.</w:t>
      </w:r>
    </w:p>
    <w:p w14:paraId="5F95423D" w14:textId="77777777" w:rsidR="00E96702" w:rsidRDefault="00E96702"/>
    <w:p w14:paraId="7C1B0EA0" w14:textId="77777777" w:rsidR="00E96702" w:rsidRDefault="0095540B">
      <w:pPr>
        <w:pStyle w:val="HeadingUnderlined"/>
      </w:pPr>
      <w:r>
        <w:t>Potencjalne ryzyko dla osób, z którymi zaszczepiona osoba ma kontakt</w:t>
      </w:r>
    </w:p>
    <w:p w14:paraId="350D029E" w14:textId="77777777" w:rsidR="00E96702" w:rsidRDefault="00E96702">
      <w:pPr>
        <w:keepNext/>
      </w:pPr>
    </w:p>
    <w:p w14:paraId="4F2A2FDA" w14:textId="6CC0C16D" w:rsidR="00E96702" w:rsidRDefault="0095540B">
      <w:r>
        <w:t>Szczep szczepionkowy zawarty w produkcie leczniczym Vaxchora był wydalany z kałem u 11,3% zaszczepionych osób w</w:t>
      </w:r>
      <w:r w:rsidR="000850EA">
        <w:t> </w:t>
      </w:r>
      <w:r>
        <w:t>czasie 7 – dniowej obserwacji po szczepieniu. Czas wydalania szczepu zawartego w szczepionce jest nieznany. Istnieje ryzyko przeniesienia szczepu zawartego w szczepionce na niezaszczepione osoby, z którymi zaszczepiona osoba ma bliski kontakt (np. osoby przebywające w tym samym gospodarstwie domowym).</w:t>
      </w:r>
    </w:p>
    <w:p w14:paraId="207AB0D6" w14:textId="77777777" w:rsidR="00E96702" w:rsidRDefault="00E96702"/>
    <w:p w14:paraId="1DDED823" w14:textId="77777777" w:rsidR="00E96702" w:rsidRDefault="0095540B">
      <w:pPr>
        <w:pStyle w:val="HeadingUnderlined"/>
      </w:pPr>
      <w:r>
        <w:t>Jednoczesne podawanie ze środkami przeciwbakteryjnymi i/lub chlorochiną</w:t>
      </w:r>
    </w:p>
    <w:p w14:paraId="09167AC1" w14:textId="77777777" w:rsidR="00E96702" w:rsidRDefault="00E96702">
      <w:pPr>
        <w:keepNext/>
      </w:pPr>
    </w:p>
    <w:p w14:paraId="3E6FEEE4" w14:textId="6B781F13" w:rsidR="00E96702" w:rsidRDefault="0095540B">
      <w:r>
        <w:t>Należy unikać jednoczesnego podawania ze środkami przeciwbakteryjnymi i/lub chlorochiną, ponieważ może to obniżyć ochronę przed cholerą</w:t>
      </w:r>
      <w:r w:rsidR="009B6B80">
        <w:t xml:space="preserve"> (p</w:t>
      </w:r>
      <w:r>
        <w:t>atrz punkt 4.5</w:t>
      </w:r>
      <w:r w:rsidR="009B6B80">
        <w:t>)</w:t>
      </w:r>
      <w:r>
        <w:t>.</w:t>
      </w:r>
    </w:p>
    <w:p w14:paraId="672C842E" w14:textId="77777777" w:rsidR="00E96702" w:rsidRDefault="00E96702"/>
    <w:p w14:paraId="31D7D35F" w14:textId="77777777" w:rsidR="00E96702" w:rsidRDefault="0095540B">
      <w:pPr>
        <w:pStyle w:val="HeadingUnderlined"/>
      </w:pPr>
      <w:r>
        <w:lastRenderedPageBreak/>
        <w:t>Choroby żołądka i jelit</w:t>
      </w:r>
    </w:p>
    <w:p w14:paraId="3FD4A440" w14:textId="77777777" w:rsidR="00E96702" w:rsidRDefault="00E96702">
      <w:pPr>
        <w:keepNext/>
      </w:pPr>
    </w:p>
    <w:p w14:paraId="5BAE02B1" w14:textId="77777777" w:rsidR="00E96702" w:rsidRDefault="0095540B">
      <w:r>
        <w:t>U osób z ostrym zapaleniem żołądka i jelit szczepienie należy przełożyć do czasu wyzdrowienia, ponieważ taki stan chorobowy może obniżyć ochronę przed cholerą. Stopień ochrony i skutki szczepienia u osób z przewlekłymi chorobami żołądka i jelit są nieznane.</w:t>
      </w:r>
    </w:p>
    <w:p w14:paraId="3DAA192B" w14:textId="77777777" w:rsidR="00E96702" w:rsidRDefault="00E96702"/>
    <w:p w14:paraId="41944A6E" w14:textId="77777777" w:rsidR="00E96702" w:rsidRDefault="0095540B">
      <w:pPr>
        <w:pStyle w:val="HeadingUnderlined"/>
      </w:pPr>
      <w:r>
        <w:t>Ograniczenia dotyczące danych klinicznych</w:t>
      </w:r>
    </w:p>
    <w:p w14:paraId="70F8468F" w14:textId="77777777" w:rsidR="00E96702" w:rsidRDefault="00E96702">
      <w:pPr>
        <w:keepNext/>
      </w:pPr>
    </w:p>
    <w:p w14:paraId="7FB7CBAA" w14:textId="58CD6732" w:rsidR="00E96702" w:rsidRDefault="0095540B" w:rsidP="00E4231D">
      <w:r>
        <w:t xml:space="preserve">Przeprowadzono badania kliniczne u osób w wieku od </w:t>
      </w:r>
      <w:r w:rsidR="00517859">
        <w:t xml:space="preserve">2 </w:t>
      </w:r>
      <w:r>
        <w:t xml:space="preserve">do 64 lat. Skuteczność wykazano, zakażając przecinkowcem cholery w warunkach doświadczalnych </w:t>
      </w:r>
      <w:r w:rsidR="00E4231D" w:rsidRPr="00A13F2C">
        <w:t>dorosłych</w:t>
      </w:r>
      <w:r w:rsidR="00E4231D">
        <w:t xml:space="preserve"> </w:t>
      </w:r>
      <w:r>
        <w:t>w wieku 18</w:t>
      </w:r>
      <w:r>
        <w:noBreakHyphen/>
        <w:t>45 lat, któr</w:t>
      </w:r>
      <w:r w:rsidR="00E4231D">
        <w:t>zy</w:t>
      </w:r>
      <w:r>
        <w:t xml:space="preserve"> 10 dni lub 3 miesiące wcześniej zosta</w:t>
      </w:r>
      <w:r w:rsidR="00E4231D">
        <w:t>li</w:t>
      </w:r>
      <w:r>
        <w:t xml:space="preserve"> zaszczepi</w:t>
      </w:r>
      <w:r w:rsidR="00E4231D">
        <w:t>eni</w:t>
      </w:r>
      <w:r>
        <w:t xml:space="preserve">, a w innych populacjach przeprowadzając wakcynologiczne badanie pomostowe bazujące na wskaźniku serokonwersji. Dostępne są dane dotyczące immunogenności dla </w:t>
      </w:r>
      <w:r w:rsidR="00517859">
        <w:t>24 </w:t>
      </w:r>
      <w:r>
        <w:t>miesięcy po szczepieniu</w:t>
      </w:r>
      <w:r w:rsidR="00325AAF">
        <w:t xml:space="preserve"> (</w:t>
      </w:r>
      <w:r w:rsidR="00037B79" w:rsidRPr="00037B79">
        <w:t>patrz punkt</w:t>
      </w:r>
      <w:r w:rsidR="00354CB5">
        <w:t> </w:t>
      </w:r>
      <w:r w:rsidR="00325AAF">
        <w:t>5.1)</w:t>
      </w:r>
      <w:r>
        <w:t>. W przypadku osób w wieku powyżej 64 lat nie są dostępne dane dotyczące immunogenności ani skuteczności.</w:t>
      </w:r>
    </w:p>
    <w:p w14:paraId="622D0F08" w14:textId="77777777" w:rsidR="00311533" w:rsidRDefault="00311533"/>
    <w:p w14:paraId="1A52127F" w14:textId="77777777" w:rsidR="00E96702" w:rsidRDefault="0095540B">
      <w:pPr>
        <w:pStyle w:val="HeadingUnderlined"/>
      </w:pPr>
      <w:r>
        <w:t>Substancje pomocnicze</w:t>
      </w:r>
    </w:p>
    <w:p w14:paraId="599C5D83" w14:textId="418063D1" w:rsidR="00E96702" w:rsidRDefault="00E96702">
      <w:pPr>
        <w:keepNext/>
      </w:pPr>
    </w:p>
    <w:p w14:paraId="2170189A" w14:textId="53D11053" w:rsidR="00A52A51" w:rsidRDefault="00A52A51" w:rsidP="00A52A51">
      <w:r>
        <w:t xml:space="preserve">Szczepionka zawiera laktozę. </w:t>
      </w:r>
      <w:r w:rsidRPr="00A52A51">
        <w:t>Lek nie powinien być</w:t>
      </w:r>
      <w:r w:rsidR="00FD31C2">
        <w:t xml:space="preserve"> </w:t>
      </w:r>
      <w:r w:rsidRPr="00A52A51">
        <w:t>stosowany u</w:t>
      </w:r>
      <w:r w:rsidR="000850EA">
        <w:t> </w:t>
      </w:r>
      <w:r w:rsidRPr="00A52A51">
        <w:t>pacjentów z</w:t>
      </w:r>
      <w:r w:rsidR="000850EA">
        <w:t> </w:t>
      </w:r>
      <w:r w:rsidRPr="00A52A51">
        <w:t>rzadko występującą dziedziczną</w:t>
      </w:r>
      <w:r w:rsidR="00FD31C2">
        <w:t xml:space="preserve"> </w:t>
      </w:r>
      <w:r w:rsidRPr="00A52A51">
        <w:t>nietolerancją galaktozy, brakiem laktazy lub zespołem</w:t>
      </w:r>
      <w:r w:rsidR="00FD31C2">
        <w:t xml:space="preserve"> </w:t>
      </w:r>
      <w:r w:rsidRPr="00A52A51">
        <w:t>złego wchłaniania glukozy-galaktozy.</w:t>
      </w:r>
    </w:p>
    <w:p w14:paraId="646C9F7D" w14:textId="77777777" w:rsidR="00A52A51" w:rsidRDefault="00A52A51" w:rsidP="00A52A51"/>
    <w:p w14:paraId="34C6C8C6" w14:textId="3F41F54E" w:rsidR="00A52A51" w:rsidRDefault="00A52A51" w:rsidP="00A52A51">
      <w:pPr>
        <w:keepNext/>
      </w:pPr>
      <w:r>
        <w:t xml:space="preserve">Szczepionka zawiera sacharozę. </w:t>
      </w:r>
      <w:r w:rsidR="00FD31C2" w:rsidRPr="00FD31C2">
        <w:t>Pacjenci z</w:t>
      </w:r>
      <w:r w:rsidR="000850EA">
        <w:t> </w:t>
      </w:r>
      <w:r w:rsidR="00FD31C2" w:rsidRPr="00FD31C2">
        <w:t>rzadkimi</w:t>
      </w:r>
      <w:r w:rsidR="00FD31C2">
        <w:t xml:space="preserve"> </w:t>
      </w:r>
      <w:r w:rsidR="00FD31C2" w:rsidRPr="00FD31C2">
        <w:t>dziedzicznymi zaburzeniami związanymi z</w:t>
      </w:r>
      <w:r w:rsidR="00832FE5">
        <w:t> </w:t>
      </w:r>
      <w:r w:rsidR="00FD31C2" w:rsidRPr="00FD31C2">
        <w:t>nietolerancją</w:t>
      </w:r>
      <w:r w:rsidR="00504A43">
        <w:t xml:space="preserve"> </w:t>
      </w:r>
      <w:r w:rsidR="00FD31C2" w:rsidRPr="00FD31C2">
        <w:t>fruktozy, zespołem złego wchłaniania glukozy-galaktozy</w:t>
      </w:r>
      <w:r w:rsidR="00504A43">
        <w:t xml:space="preserve"> </w:t>
      </w:r>
      <w:r w:rsidR="00FD31C2" w:rsidRPr="00FD31C2">
        <w:t>lub niedoborem sacharazy-izomaltazy, nie powinni</w:t>
      </w:r>
      <w:r w:rsidR="00504A43">
        <w:t xml:space="preserve"> </w:t>
      </w:r>
      <w:r w:rsidR="00FD31C2" w:rsidRPr="00FD31C2">
        <w:t xml:space="preserve">przyjmować </w:t>
      </w:r>
      <w:r w:rsidR="00B23FA7">
        <w:t xml:space="preserve">tego </w:t>
      </w:r>
      <w:r w:rsidR="00FD31C2" w:rsidRPr="00FD31C2">
        <w:t>produktu leczniczego.</w:t>
      </w:r>
    </w:p>
    <w:p w14:paraId="7BCD1143" w14:textId="77777777" w:rsidR="00E96702" w:rsidRDefault="00E96702"/>
    <w:p w14:paraId="051C305A" w14:textId="3C6B8CAF" w:rsidR="00E96702" w:rsidRDefault="008651FD">
      <w:r w:rsidRPr="008651FD">
        <w:t>Szczepionka zawiera 863</w:t>
      </w:r>
      <w:r w:rsidR="0075188A">
        <w:t> </w:t>
      </w:r>
      <w:r w:rsidRPr="008651FD">
        <w:t>mg sodu na dawkę</w:t>
      </w:r>
      <w:r w:rsidR="000848F0">
        <w:t>,</w:t>
      </w:r>
      <w:r w:rsidRPr="008651FD">
        <w:t xml:space="preserve"> co odpowiada 43% zalecanej przez WHO maksymalnej 2</w:t>
      </w:r>
      <w:r w:rsidR="0075188A">
        <w:t> </w:t>
      </w:r>
      <w:r w:rsidRPr="008651FD">
        <w:t>g dobowej dawki sodu u</w:t>
      </w:r>
      <w:r w:rsidR="000850EA">
        <w:t> </w:t>
      </w:r>
      <w:r w:rsidRPr="008651FD">
        <w:t xml:space="preserve">zdrowych </w:t>
      </w:r>
      <w:r w:rsidR="00B23FA7">
        <w:t xml:space="preserve">osób </w:t>
      </w:r>
      <w:r w:rsidRPr="008651FD">
        <w:t>dorosłych.</w:t>
      </w:r>
    </w:p>
    <w:p w14:paraId="2577ADA9" w14:textId="77777777" w:rsidR="00E96702" w:rsidRDefault="00E96702"/>
    <w:p w14:paraId="7B4DF260" w14:textId="77777777" w:rsidR="00E96702" w:rsidRPr="00EC4F10" w:rsidRDefault="0095540B" w:rsidP="00EC4F10">
      <w:pPr>
        <w:rPr>
          <w:b/>
          <w:bCs/>
        </w:rPr>
      </w:pPr>
      <w:r w:rsidRPr="00EC4F10">
        <w:rPr>
          <w:b/>
          <w:bCs/>
        </w:rPr>
        <w:t>4.5</w:t>
      </w:r>
      <w:r w:rsidRPr="00EC4F10">
        <w:rPr>
          <w:b/>
          <w:bCs/>
        </w:rPr>
        <w:tab/>
        <w:t>Interakcje z innymi produktami leczniczymi i inne rodzaje interakcji</w:t>
      </w:r>
    </w:p>
    <w:p w14:paraId="78583FBD" w14:textId="77777777" w:rsidR="00E96702" w:rsidRDefault="00E96702">
      <w:pPr>
        <w:keepNext/>
      </w:pPr>
    </w:p>
    <w:p w14:paraId="6C922108" w14:textId="0500DB56" w:rsidR="00E96702" w:rsidRDefault="0095540B">
      <w:r>
        <w:t>Nie przeprowadzono badań dotyczących interakcji z</w:t>
      </w:r>
      <w:r w:rsidR="000850EA">
        <w:t> </w:t>
      </w:r>
      <w:r>
        <w:t xml:space="preserve">produktem leczniczym Vaxchora, jednak dane i doświadczenie kliniczne dotyczące innych szczepionek mogą mieć zastosowanie do </w:t>
      </w:r>
      <w:r w:rsidR="004B0047">
        <w:t>tej szczepionki</w:t>
      </w:r>
      <w:r>
        <w:t>.</w:t>
      </w:r>
    </w:p>
    <w:p w14:paraId="3D0A14FC" w14:textId="77777777" w:rsidR="00E96702" w:rsidRDefault="00E96702"/>
    <w:p w14:paraId="0D885B34" w14:textId="6F9FD908" w:rsidR="004B0047" w:rsidRPr="00A13F2C" w:rsidRDefault="004B0047" w:rsidP="000850EA">
      <w:pPr>
        <w:keepNext/>
        <w:rPr>
          <w:i/>
          <w:iCs/>
        </w:rPr>
      </w:pPr>
      <w:r w:rsidRPr="00A13F2C">
        <w:rPr>
          <w:i/>
          <w:iCs/>
        </w:rPr>
        <w:t>Doustna szczepionka przeciw durowi brzusznemu</w:t>
      </w:r>
    </w:p>
    <w:p w14:paraId="532AB913" w14:textId="77777777" w:rsidR="004B0047" w:rsidRDefault="004B0047" w:rsidP="000850EA">
      <w:pPr>
        <w:keepNext/>
      </w:pPr>
    </w:p>
    <w:p w14:paraId="46D3E2BC" w14:textId="34B0EE67" w:rsidR="00E96702" w:rsidRDefault="0095540B">
      <w:r>
        <w:t xml:space="preserve">Między podaniem </w:t>
      </w:r>
      <w:r w:rsidR="004B0047">
        <w:t xml:space="preserve">tej </w:t>
      </w:r>
      <w:r>
        <w:t>szczepionki i szczepionki przeciw durowi brzusznemu Ty21a (kapsułki dojelitowe) należy zachować odstęp 2 godzin, ponieważ bufor podawany wraz z </w:t>
      </w:r>
      <w:r w:rsidR="004B0047">
        <w:t>tą szczepionką</w:t>
      </w:r>
      <w:r>
        <w:t xml:space="preserve"> może wpływać na pasaż kapsułek przez przewód pokarmowy.</w:t>
      </w:r>
    </w:p>
    <w:p w14:paraId="49AE224F" w14:textId="77777777" w:rsidR="00E96702" w:rsidRDefault="00E96702"/>
    <w:p w14:paraId="3C9B9801" w14:textId="23761966" w:rsidR="00B574EA" w:rsidRPr="00A13F2C" w:rsidRDefault="00B574EA">
      <w:pPr>
        <w:rPr>
          <w:i/>
          <w:iCs/>
        </w:rPr>
      </w:pPr>
      <w:r w:rsidRPr="00A13F2C">
        <w:rPr>
          <w:i/>
          <w:iCs/>
        </w:rPr>
        <w:t>Antybiotyki</w:t>
      </w:r>
    </w:p>
    <w:p w14:paraId="16792066" w14:textId="77777777" w:rsidR="00B574EA" w:rsidRDefault="00B574EA"/>
    <w:p w14:paraId="38670CA3" w14:textId="6BC97734" w:rsidR="00E96702" w:rsidRDefault="0095540B">
      <w:r>
        <w:t xml:space="preserve">Należy unikać jednoczesnego stosowania </w:t>
      </w:r>
      <w:r w:rsidR="00B574EA">
        <w:t>tej szczepionki</w:t>
      </w:r>
      <w:r>
        <w:t xml:space="preserve"> z podawanymi ogólnie antybiotykami wykazującymi aktywność wobec </w:t>
      </w:r>
      <w:r>
        <w:rPr>
          <w:rStyle w:val="Emphasis"/>
        </w:rPr>
        <w:t>V</w:t>
      </w:r>
      <w:r w:rsidR="00B574EA">
        <w:rPr>
          <w:rStyle w:val="Emphasis"/>
        </w:rPr>
        <w:t>ibrio</w:t>
      </w:r>
      <w:r>
        <w:rPr>
          <w:rStyle w:val="Emphasis"/>
        </w:rPr>
        <w:t xml:space="preserve"> cholerae</w:t>
      </w:r>
      <w:r>
        <w:t xml:space="preserve">, ponieważ mogą one nie dopuszczać do </w:t>
      </w:r>
      <w:r w:rsidR="00E1549D">
        <w:t>replikacji</w:t>
      </w:r>
      <w:r>
        <w:t xml:space="preserve"> szczepu szczepionkowego w stopniu wystarczającym do wywołania ochronnej odpowiedzi immunologicznej. </w:t>
      </w:r>
      <w:r w:rsidR="00B574EA">
        <w:t>Tej szczepionki</w:t>
      </w:r>
      <w:r>
        <w:t xml:space="preserve"> nie należy podawać pacjentom, którzy przyjmowali antybiotyki podawane doustnie lub pozajelitowo w ciągu 14 dni przed szczepieniem. Antybiotyków podawanych doustnie lub pozajelitowo nie należy stosować przez 10 dni po szczepieniu </w:t>
      </w:r>
      <w:r w:rsidR="00B574EA">
        <w:t>tą szczepionką</w:t>
      </w:r>
      <w:r>
        <w:t>.</w:t>
      </w:r>
    </w:p>
    <w:p w14:paraId="645C9E2E" w14:textId="77777777" w:rsidR="00E96702" w:rsidRDefault="00E96702"/>
    <w:p w14:paraId="0E207496" w14:textId="6F65291B" w:rsidR="00B574EA" w:rsidRPr="00A13F2C" w:rsidRDefault="00B574EA">
      <w:pPr>
        <w:rPr>
          <w:i/>
          <w:iCs/>
        </w:rPr>
      </w:pPr>
      <w:r>
        <w:rPr>
          <w:i/>
          <w:iCs/>
        </w:rPr>
        <w:t>Profilaktyka przeciwmalaryczna</w:t>
      </w:r>
    </w:p>
    <w:p w14:paraId="09643D19" w14:textId="77777777" w:rsidR="00B574EA" w:rsidRDefault="00B574EA"/>
    <w:p w14:paraId="502D4A2A" w14:textId="0D1A1720" w:rsidR="00E96702" w:rsidRDefault="0095540B">
      <w:r>
        <w:t xml:space="preserve">Dane z badania poprzedniej wersji szczepionki bazującej na szczepie CVD 103-HgR wskazują, że odpowiedź immunologiczna na produkt leczniczy Vaxchora i ochrona przed cholerą mogą zostać obniżone w przypadku jednoczesnego podawania </w:t>
      </w:r>
      <w:r w:rsidR="00B97B2E">
        <w:t>tej szczepionki</w:t>
      </w:r>
      <w:r>
        <w:t xml:space="preserve"> z chlorochiną. </w:t>
      </w:r>
      <w:r w:rsidR="00CE4216">
        <w:t>Tę szczepionkę</w:t>
      </w:r>
      <w:r>
        <w:t xml:space="preserve"> należy podać co najmniej 10 dni przed rozpoczęciem profilaktycznego leczenia przeciwmalarycznego chlorochiną. Nie są dostępne dane dotyczące jednoczesnego stosowania </w:t>
      </w:r>
      <w:r w:rsidR="00CE4216">
        <w:t>tej szczepionki</w:t>
      </w:r>
      <w:r>
        <w:t xml:space="preserve"> z innymi lekami przeciwmalarycznymi.</w:t>
      </w:r>
    </w:p>
    <w:p w14:paraId="748305F8" w14:textId="77777777" w:rsidR="00E96702" w:rsidRDefault="00E96702"/>
    <w:p w14:paraId="5B481474" w14:textId="7986BD47" w:rsidR="002107E5" w:rsidRPr="00A13F2C" w:rsidRDefault="002107E5">
      <w:pPr>
        <w:rPr>
          <w:i/>
          <w:iCs/>
        </w:rPr>
      </w:pPr>
      <w:r w:rsidRPr="00A13F2C">
        <w:rPr>
          <w:i/>
          <w:iCs/>
        </w:rPr>
        <w:lastRenderedPageBreak/>
        <w:t>Jedzenie i picie</w:t>
      </w:r>
    </w:p>
    <w:p w14:paraId="350B0602" w14:textId="77777777" w:rsidR="002107E5" w:rsidRDefault="002107E5"/>
    <w:p w14:paraId="6188FDB1" w14:textId="3CF5EE2F" w:rsidR="00E96702" w:rsidRDefault="0095540B">
      <w:r>
        <w:t xml:space="preserve">Szczepionka nie jest odporna na działanie kwasów, dlatego jest podawana wraz z buforem. Nie należy spożywać posiłków ani przyjmować płynów przez 60 minut przed przyjęciem </w:t>
      </w:r>
      <w:r w:rsidR="002107E5">
        <w:t>tej szczepionki</w:t>
      </w:r>
      <w:r>
        <w:t xml:space="preserve"> oraz przez 60 minut po jego przyjęciu, ponieważ może to zakłócać działanie ochronne buforu.</w:t>
      </w:r>
    </w:p>
    <w:p w14:paraId="5F796037" w14:textId="77777777" w:rsidR="00E96702" w:rsidRDefault="00E96702"/>
    <w:p w14:paraId="4E6D13EB" w14:textId="77777777" w:rsidR="00E96702" w:rsidRPr="00EC4F10" w:rsidRDefault="0095540B" w:rsidP="00EC4F10">
      <w:pPr>
        <w:rPr>
          <w:b/>
          <w:bCs/>
        </w:rPr>
      </w:pPr>
      <w:r w:rsidRPr="00EC4F10">
        <w:rPr>
          <w:b/>
          <w:bCs/>
        </w:rPr>
        <w:t>4.6</w:t>
      </w:r>
      <w:r w:rsidRPr="00EC4F10">
        <w:rPr>
          <w:b/>
          <w:bCs/>
        </w:rPr>
        <w:tab/>
        <w:t>Wpływ na płodność, ciążę i laktację</w:t>
      </w:r>
    </w:p>
    <w:p w14:paraId="49A1F477" w14:textId="77777777" w:rsidR="00E96702" w:rsidRDefault="00E96702">
      <w:pPr>
        <w:keepNext/>
      </w:pPr>
    </w:p>
    <w:p w14:paraId="652C47C1" w14:textId="77777777" w:rsidR="00E96702" w:rsidRDefault="0095540B">
      <w:pPr>
        <w:pStyle w:val="HeadingUnderlined"/>
      </w:pPr>
      <w:r>
        <w:t>Ciąża</w:t>
      </w:r>
    </w:p>
    <w:p w14:paraId="6EC99EBD" w14:textId="77777777" w:rsidR="00E96702" w:rsidRDefault="00E96702">
      <w:pPr>
        <w:keepNext/>
      </w:pPr>
    </w:p>
    <w:p w14:paraId="47DB9A84" w14:textId="77777777" w:rsidR="00E96702" w:rsidRDefault="0095540B">
      <w:r>
        <w:t>Istnieją tylko ograniczone dane dotyczące stosowania produktu leczniczego Vaxchora u kobiet w okresie ciąży.</w:t>
      </w:r>
    </w:p>
    <w:p w14:paraId="4EC39C7C" w14:textId="77777777" w:rsidR="00E96702" w:rsidRDefault="0095540B">
      <w:r>
        <w:t>Badania na zwierzętach dotyczące szkodliwego wpływu na reprodukcję są niewystarczające (patrz punkt 5.3).</w:t>
      </w:r>
    </w:p>
    <w:p w14:paraId="4157156B" w14:textId="41BF4675" w:rsidR="00E96702" w:rsidRDefault="0095540B">
      <w:r>
        <w:t xml:space="preserve">W okresie ciąży </w:t>
      </w:r>
      <w:r w:rsidR="002107E5">
        <w:t>tę szczepionkę</w:t>
      </w:r>
      <w:r>
        <w:t xml:space="preserve"> należy stosować tylko wówczas, gdy potencjalne korzyści dla matki przeważają nad potencjalnymi zagrożeniami, w tym zagrożeniami dla płodu.</w:t>
      </w:r>
    </w:p>
    <w:p w14:paraId="44DD7194" w14:textId="77777777" w:rsidR="00E96702" w:rsidRDefault="00E96702"/>
    <w:p w14:paraId="7E5B0E15" w14:textId="77777777" w:rsidR="00E96702" w:rsidRDefault="0095540B">
      <w:pPr>
        <w:pStyle w:val="HeadingUnderlined"/>
      </w:pPr>
      <w:r>
        <w:t>Karmienie piersią</w:t>
      </w:r>
    </w:p>
    <w:p w14:paraId="06383B3C" w14:textId="77777777" w:rsidR="00E96702" w:rsidRDefault="00E96702">
      <w:pPr>
        <w:keepNext/>
      </w:pPr>
    </w:p>
    <w:p w14:paraId="36452D29" w14:textId="03D22A8C" w:rsidR="00E96702" w:rsidRDefault="0095540B">
      <w:r>
        <w:t xml:space="preserve">Nie wiadomo, czy produkt leczniczy Vaxchora przenika do mleka ludzkiego. Nie można wykluczyć zagrożenia dla dziecka karmionego piersią. Należy podjąć decyzję, czy przerwać karmienie piersią czy </w:t>
      </w:r>
      <w:r w:rsidR="00927E28">
        <w:t>przer</w:t>
      </w:r>
      <w:r>
        <w:t>wać poda</w:t>
      </w:r>
      <w:r w:rsidR="00927E28">
        <w:t>wa</w:t>
      </w:r>
      <w:r>
        <w:t>ni</w:t>
      </w:r>
      <w:r w:rsidR="00927E28">
        <w:t>e</w:t>
      </w:r>
      <w:r>
        <w:t xml:space="preserve"> </w:t>
      </w:r>
      <w:r w:rsidR="00BC4937">
        <w:t>tej szczepionki</w:t>
      </w:r>
      <w:r>
        <w:t xml:space="preserve">, biorąc pod uwagę korzyści z karmienia piersią dla dziecka i korzyści ze stosowania </w:t>
      </w:r>
      <w:r w:rsidR="00BC4937">
        <w:t xml:space="preserve">tej szczepionki </w:t>
      </w:r>
      <w:r>
        <w:t>dla matki.</w:t>
      </w:r>
    </w:p>
    <w:p w14:paraId="16E258DC" w14:textId="77777777" w:rsidR="00E96702" w:rsidRDefault="00E96702"/>
    <w:p w14:paraId="0477B708" w14:textId="77777777" w:rsidR="00E96702" w:rsidRDefault="0095540B">
      <w:pPr>
        <w:pStyle w:val="HeadingUnderlined"/>
      </w:pPr>
      <w:r>
        <w:t>Płodność</w:t>
      </w:r>
    </w:p>
    <w:p w14:paraId="7FB56FD7" w14:textId="77777777" w:rsidR="00E96702" w:rsidRDefault="00E96702">
      <w:pPr>
        <w:keepNext/>
      </w:pPr>
    </w:p>
    <w:p w14:paraId="6E908550" w14:textId="77777777" w:rsidR="00E96702" w:rsidRDefault="0095540B">
      <w:r>
        <w:t>Nie są dostępne dane dotyczące wpływu produktu leczniczego Vaxchora na płodność u ludzi ani u zwierząt.</w:t>
      </w:r>
    </w:p>
    <w:p w14:paraId="395731CB" w14:textId="77777777" w:rsidR="00E96702" w:rsidRDefault="00E96702"/>
    <w:p w14:paraId="611E0998" w14:textId="77777777" w:rsidR="00E96702" w:rsidRPr="00EC4F10" w:rsidRDefault="0095540B" w:rsidP="00EC4F10">
      <w:pPr>
        <w:rPr>
          <w:b/>
          <w:bCs/>
        </w:rPr>
      </w:pPr>
      <w:r w:rsidRPr="00EC4F10">
        <w:rPr>
          <w:b/>
          <w:bCs/>
        </w:rPr>
        <w:t>4.7</w:t>
      </w:r>
      <w:r w:rsidRPr="00EC4F10">
        <w:rPr>
          <w:b/>
          <w:bCs/>
        </w:rPr>
        <w:tab/>
        <w:t>Wpływ na zdolność prowadzenia pojazdów i obsługiwania maszyn</w:t>
      </w:r>
    </w:p>
    <w:p w14:paraId="5862E5AF" w14:textId="77777777" w:rsidR="00E96702" w:rsidRDefault="00E96702">
      <w:pPr>
        <w:keepNext/>
      </w:pPr>
    </w:p>
    <w:p w14:paraId="65123FC4" w14:textId="59E62A93" w:rsidR="00E96702" w:rsidRDefault="0095540B">
      <w:r>
        <w:t>Produkt leczniczy Vaxchora nie ma wpływu lub wywiera nieistotny wpływ na zdolność prowadzenia pojazdów i obsługiwania maszyn.</w:t>
      </w:r>
      <w:r w:rsidR="00895D6B">
        <w:t xml:space="preserve"> </w:t>
      </w:r>
      <w:r w:rsidR="00070C16">
        <w:rPr>
          <w:noProof/>
        </w:rPr>
        <w:t>Niemniej niektóre z działań</w:t>
      </w:r>
      <w:r w:rsidR="00895D6B" w:rsidRPr="00A75299">
        <w:rPr>
          <w:noProof/>
        </w:rPr>
        <w:t xml:space="preserve"> </w:t>
      </w:r>
      <w:r w:rsidR="008D1895">
        <w:rPr>
          <w:noProof/>
        </w:rPr>
        <w:t>wymienionych w punkcie </w:t>
      </w:r>
      <w:r w:rsidR="00895D6B" w:rsidRPr="00A75299">
        <w:rPr>
          <w:noProof/>
        </w:rPr>
        <w:t xml:space="preserve">4.8 </w:t>
      </w:r>
      <w:r w:rsidR="005214BE">
        <w:rPr>
          <w:noProof/>
        </w:rPr>
        <w:t xml:space="preserve">(np. zmęczenie, zawroty głowy) </w:t>
      </w:r>
      <w:r w:rsidR="008D1895">
        <w:rPr>
          <w:noProof/>
        </w:rPr>
        <w:t>mogą</w:t>
      </w:r>
      <w:r w:rsidR="00895D6B" w:rsidRPr="00A75299">
        <w:rPr>
          <w:noProof/>
        </w:rPr>
        <w:t xml:space="preserve"> </w:t>
      </w:r>
      <w:r w:rsidR="001C4AB5">
        <w:rPr>
          <w:noProof/>
        </w:rPr>
        <w:t xml:space="preserve">tymczasowo wpływać na zdolność prowadzenia pojazdów </w:t>
      </w:r>
      <w:r w:rsidR="00EE377C">
        <w:rPr>
          <w:noProof/>
        </w:rPr>
        <w:t>lub</w:t>
      </w:r>
      <w:r w:rsidR="001C4AB5">
        <w:rPr>
          <w:noProof/>
        </w:rPr>
        <w:t> obsługiwania maszyn.</w:t>
      </w:r>
    </w:p>
    <w:p w14:paraId="08253034" w14:textId="77777777" w:rsidR="00E96702" w:rsidRDefault="00E96702"/>
    <w:p w14:paraId="15B6E0E2" w14:textId="77777777" w:rsidR="00E96702" w:rsidRPr="00EC4F10" w:rsidRDefault="0095540B" w:rsidP="00EC4F10">
      <w:pPr>
        <w:rPr>
          <w:b/>
          <w:bCs/>
        </w:rPr>
      </w:pPr>
      <w:r w:rsidRPr="00EC4F10">
        <w:rPr>
          <w:b/>
          <w:bCs/>
        </w:rPr>
        <w:t>4.8</w:t>
      </w:r>
      <w:r w:rsidRPr="00EC4F10">
        <w:rPr>
          <w:b/>
          <w:bCs/>
        </w:rPr>
        <w:tab/>
        <w:t>Działania niepożądane</w:t>
      </w:r>
    </w:p>
    <w:p w14:paraId="23DDF51A" w14:textId="77777777" w:rsidR="00E96702" w:rsidRDefault="00E96702">
      <w:pPr>
        <w:keepNext/>
      </w:pPr>
    </w:p>
    <w:p w14:paraId="1510A65D" w14:textId="29E2D1E2" w:rsidR="00E96702" w:rsidRDefault="0095540B">
      <w:pPr>
        <w:pStyle w:val="HeadingUnderlined"/>
      </w:pPr>
      <w:r>
        <w:t>Podsumowanie profilu bezpieczeństwa</w:t>
      </w:r>
      <w:r w:rsidR="00BC48BC">
        <w:t xml:space="preserve"> stosowania</w:t>
      </w:r>
    </w:p>
    <w:p w14:paraId="3ACAEEF0" w14:textId="77777777" w:rsidR="00E96702" w:rsidRDefault="00E96702">
      <w:pPr>
        <w:keepNext/>
      </w:pPr>
    </w:p>
    <w:p w14:paraId="163D4D06" w14:textId="18C83686" w:rsidR="00E96702" w:rsidRDefault="0095540B">
      <w:r>
        <w:t>Do najczęściej zgłaszanych działań niepożądanych po podaniu produktu leczniczego Vaxchora należą zmęczenie (30,2%), ból głowy (28,3%), ból brzucha (18,4%), nudności/wymioty (17,</w:t>
      </w:r>
      <w:r w:rsidR="00361A5D">
        <w:t>9</w:t>
      </w:r>
      <w:r>
        <w:t>%) i </w:t>
      </w:r>
      <w:r w:rsidR="005214BE">
        <w:t>zmniejsz</w:t>
      </w:r>
      <w:r w:rsidR="00307A28">
        <w:t>o</w:t>
      </w:r>
      <w:r w:rsidR="005214BE">
        <w:t>n</w:t>
      </w:r>
      <w:r w:rsidR="00307A28">
        <w:t>e</w:t>
      </w:r>
      <w:r w:rsidR="005214BE">
        <w:t xml:space="preserve"> </w:t>
      </w:r>
      <w:r>
        <w:t>łaknieni</w:t>
      </w:r>
      <w:r w:rsidR="00307A28">
        <w:t>e</w:t>
      </w:r>
      <w:r>
        <w:t xml:space="preserve"> (15,7%).</w:t>
      </w:r>
    </w:p>
    <w:p w14:paraId="48C09EDE" w14:textId="77777777" w:rsidR="00E96702" w:rsidRDefault="00E96702"/>
    <w:p w14:paraId="209B93A0" w14:textId="77777777" w:rsidR="00E96702" w:rsidRDefault="0095540B">
      <w:pPr>
        <w:pStyle w:val="HeadingUnderlined"/>
      </w:pPr>
      <w:r>
        <w:t>Tabelaryczne zestawienie działań niepożądanych</w:t>
      </w:r>
    </w:p>
    <w:p w14:paraId="0B7B26F6" w14:textId="53E079A3" w:rsidR="00E96702" w:rsidRDefault="0095540B">
      <w:r>
        <w:t>Zastosowano następującą klasyfikację częstości występowania działań niepożądanych: bardzo często (≥</w:t>
      </w:r>
      <w:r w:rsidR="000850EA">
        <w:t> </w:t>
      </w:r>
      <w:r>
        <w:t>1/10); często (≥</w:t>
      </w:r>
      <w:r w:rsidR="000850EA">
        <w:t> </w:t>
      </w:r>
      <w:r>
        <w:t>1/100 do &lt;</w:t>
      </w:r>
      <w:r w:rsidR="000850EA">
        <w:t> </w:t>
      </w:r>
      <w:r>
        <w:t>1/10); niezbyt często (≥</w:t>
      </w:r>
      <w:r w:rsidR="000850EA">
        <w:t> </w:t>
      </w:r>
      <w:r>
        <w:t>1/1</w:t>
      </w:r>
      <w:r w:rsidR="00F32985">
        <w:t> </w:t>
      </w:r>
      <w:r>
        <w:t>000 do &lt;</w:t>
      </w:r>
      <w:r w:rsidR="000850EA">
        <w:t> </w:t>
      </w:r>
      <w:r>
        <w:t>1/100); rzadko (≥</w:t>
      </w:r>
      <w:r w:rsidR="000850EA">
        <w:t> </w:t>
      </w:r>
      <w:r>
        <w:t>1/10 000 do &lt;</w:t>
      </w:r>
      <w:r w:rsidR="000850EA">
        <w:t> </w:t>
      </w:r>
      <w:r>
        <w:t>1/1</w:t>
      </w:r>
      <w:r w:rsidR="00F32985">
        <w:t> </w:t>
      </w:r>
      <w:r>
        <w:t>000); bardzo rzadko (&lt;</w:t>
      </w:r>
      <w:r w:rsidR="000850EA">
        <w:t> </w:t>
      </w:r>
      <w:r>
        <w:t>1/10 000), nieznana (częstość nie może być określona na podstawie dostępnych danych).</w:t>
      </w:r>
    </w:p>
    <w:p w14:paraId="0E9269F0" w14:textId="77777777" w:rsidR="00E96702" w:rsidRDefault="00E967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5"/>
        <w:gridCol w:w="1932"/>
      </w:tblGrid>
      <w:tr w:rsidR="00E96702" w14:paraId="2D4833D4" w14:textId="77777777">
        <w:tc>
          <w:tcPr>
            <w:tcW w:w="7145" w:type="dxa"/>
          </w:tcPr>
          <w:p w14:paraId="21F6C301" w14:textId="77777777" w:rsidR="00E96702" w:rsidRDefault="0095540B">
            <w:pPr>
              <w:keepNext/>
              <w:rPr>
                <w:rStyle w:val="Strong"/>
              </w:rPr>
            </w:pPr>
            <w:r>
              <w:rPr>
                <w:rStyle w:val="Strong"/>
              </w:rPr>
              <w:lastRenderedPageBreak/>
              <w:t>Działania niepożądane</w:t>
            </w:r>
          </w:p>
        </w:tc>
        <w:tc>
          <w:tcPr>
            <w:tcW w:w="1932" w:type="dxa"/>
          </w:tcPr>
          <w:p w14:paraId="12A3B44A" w14:textId="77777777" w:rsidR="00E96702" w:rsidRDefault="0095540B">
            <w:pPr>
              <w:rPr>
                <w:rStyle w:val="Strong"/>
              </w:rPr>
            </w:pPr>
            <w:r>
              <w:rPr>
                <w:rStyle w:val="Strong"/>
              </w:rPr>
              <w:t>Częstość</w:t>
            </w:r>
          </w:p>
        </w:tc>
      </w:tr>
      <w:tr w:rsidR="00E96702" w14:paraId="02731121" w14:textId="77777777">
        <w:tc>
          <w:tcPr>
            <w:tcW w:w="9077" w:type="dxa"/>
            <w:gridSpan w:val="2"/>
          </w:tcPr>
          <w:p w14:paraId="45F927A7" w14:textId="77777777" w:rsidR="00E96702" w:rsidRDefault="0095540B">
            <w:pPr>
              <w:keepNext/>
              <w:rPr>
                <w:rStyle w:val="Emphasis"/>
              </w:rPr>
            </w:pPr>
            <w:r>
              <w:rPr>
                <w:rStyle w:val="Emphasis"/>
              </w:rPr>
              <w:t>Zaburzenia metabolizmu i odżywiania</w:t>
            </w:r>
          </w:p>
        </w:tc>
      </w:tr>
      <w:tr w:rsidR="00E96702" w14:paraId="4EEB9B59" w14:textId="77777777">
        <w:tc>
          <w:tcPr>
            <w:tcW w:w="7145" w:type="dxa"/>
          </w:tcPr>
          <w:p w14:paraId="1364E234" w14:textId="77777777" w:rsidR="00E96702" w:rsidRDefault="0095540B">
            <w:pPr>
              <w:keepNext/>
            </w:pPr>
            <w:r>
              <w:t>Zmniejszone łaknienie</w:t>
            </w:r>
          </w:p>
        </w:tc>
        <w:tc>
          <w:tcPr>
            <w:tcW w:w="1932" w:type="dxa"/>
          </w:tcPr>
          <w:p w14:paraId="204695C0" w14:textId="77777777" w:rsidR="00E96702" w:rsidRDefault="0095540B">
            <w:r>
              <w:t>Bardzo często</w:t>
            </w:r>
          </w:p>
        </w:tc>
      </w:tr>
      <w:tr w:rsidR="00E96702" w14:paraId="6713AAC5" w14:textId="77777777">
        <w:tc>
          <w:tcPr>
            <w:tcW w:w="9077" w:type="dxa"/>
            <w:gridSpan w:val="2"/>
          </w:tcPr>
          <w:p w14:paraId="3FB392CD" w14:textId="77777777" w:rsidR="00E96702" w:rsidRDefault="0095540B">
            <w:pPr>
              <w:keepNext/>
              <w:rPr>
                <w:rStyle w:val="Emphasis"/>
              </w:rPr>
            </w:pPr>
            <w:r>
              <w:rPr>
                <w:rStyle w:val="Emphasis"/>
              </w:rPr>
              <w:t>Zaburzenia układu nerwowego</w:t>
            </w:r>
          </w:p>
        </w:tc>
      </w:tr>
      <w:tr w:rsidR="00E96702" w14:paraId="3E264072" w14:textId="77777777">
        <w:tc>
          <w:tcPr>
            <w:tcW w:w="7145" w:type="dxa"/>
          </w:tcPr>
          <w:p w14:paraId="788B41C5" w14:textId="77777777" w:rsidR="00E96702" w:rsidRDefault="0095540B">
            <w:pPr>
              <w:keepNext/>
            </w:pPr>
            <w:r>
              <w:t>Ból głowy</w:t>
            </w:r>
          </w:p>
        </w:tc>
        <w:tc>
          <w:tcPr>
            <w:tcW w:w="1932" w:type="dxa"/>
          </w:tcPr>
          <w:p w14:paraId="11672C96" w14:textId="77777777" w:rsidR="00E96702" w:rsidRDefault="0095540B">
            <w:r>
              <w:t>Bardzo często</w:t>
            </w:r>
          </w:p>
        </w:tc>
      </w:tr>
      <w:tr w:rsidR="00E96702" w14:paraId="728BCA45" w14:textId="77777777">
        <w:tc>
          <w:tcPr>
            <w:tcW w:w="7145" w:type="dxa"/>
          </w:tcPr>
          <w:p w14:paraId="5C8339F7" w14:textId="77777777" w:rsidR="00E96702" w:rsidRDefault="0095540B">
            <w:pPr>
              <w:keepNext/>
            </w:pPr>
            <w:r>
              <w:t>Zawroty głowy</w:t>
            </w:r>
          </w:p>
        </w:tc>
        <w:tc>
          <w:tcPr>
            <w:tcW w:w="1932" w:type="dxa"/>
          </w:tcPr>
          <w:p w14:paraId="3153AFCB" w14:textId="77777777" w:rsidR="00E96702" w:rsidRDefault="0095540B">
            <w:r>
              <w:t>Niezbyt często</w:t>
            </w:r>
          </w:p>
        </w:tc>
      </w:tr>
      <w:tr w:rsidR="00E96702" w14:paraId="43E9579B" w14:textId="77777777">
        <w:tc>
          <w:tcPr>
            <w:tcW w:w="9077" w:type="dxa"/>
            <w:gridSpan w:val="2"/>
          </w:tcPr>
          <w:p w14:paraId="77DBBCDD" w14:textId="77777777" w:rsidR="00E96702" w:rsidRDefault="0095540B">
            <w:pPr>
              <w:keepNext/>
              <w:rPr>
                <w:rStyle w:val="Emphasis"/>
              </w:rPr>
            </w:pPr>
            <w:r>
              <w:rPr>
                <w:rStyle w:val="Emphasis"/>
              </w:rPr>
              <w:t>Zaburzenia żołądka i jelit</w:t>
            </w:r>
          </w:p>
        </w:tc>
      </w:tr>
      <w:tr w:rsidR="00E96702" w14:paraId="551C6ED6" w14:textId="77777777">
        <w:tc>
          <w:tcPr>
            <w:tcW w:w="7145" w:type="dxa"/>
          </w:tcPr>
          <w:p w14:paraId="69D2AFBF" w14:textId="77777777" w:rsidR="00E96702" w:rsidRDefault="0095540B">
            <w:pPr>
              <w:keepNext/>
            </w:pPr>
            <w:r>
              <w:t>Ból brzucha, nudności/wymioty</w:t>
            </w:r>
          </w:p>
        </w:tc>
        <w:tc>
          <w:tcPr>
            <w:tcW w:w="1932" w:type="dxa"/>
          </w:tcPr>
          <w:p w14:paraId="52AD1571" w14:textId="77777777" w:rsidR="00E96702" w:rsidRDefault="0095540B">
            <w:r>
              <w:t>Bardzo często</w:t>
            </w:r>
          </w:p>
        </w:tc>
      </w:tr>
      <w:tr w:rsidR="00E96702" w14:paraId="030E1A71" w14:textId="77777777">
        <w:tc>
          <w:tcPr>
            <w:tcW w:w="7145" w:type="dxa"/>
          </w:tcPr>
          <w:p w14:paraId="3ED4D8F7" w14:textId="77777777" w:rsidR="00E96702" w:rsidRDefault="0095540B">
            <w:pPr>
              <w:keepNext/>
            </w:pPr>
            <w:r>
              <w:t>Biegunka</w:t>
            </w:r>
          </w:p>
        </w:tc>
        <w:tc>
          <w:tcPr>
            <w:tcW w:w="1932" w:type="dxa"/>
          </w:tcPr>
          <w:p w14:paraId="069451AD" w14:textId="77777777" w:rsidR="00E96702" w:rsidRDefault="0095540B">
            <w:r>
              <w:t>Często</w:t>
            </w:r>
          </w:p>
        </w:tc>
      </w:tr>
      <w:tr w:rsidR="00E96702" w14:paraId="007040B6" w14:textId="77777777">
        <w:tc>
          <w:tcPr>
            <w:tcW w:w="7145" w:type="dxa"/>
          </w:tcPr>
          <w:p w14:paraId="4F190431" w14:textId="77777777" w:rsidR="00E96702" w:rsidRDefault="0095540B">
            <w:pPr>
              <w:keepNext/>
            </w:pPr>
            <w:r>
              <w:t>Gazy jelitowe, zaparcie, wzdęcie jamy brzusznej, niestrawność, nietypowy stolec, suchość w jamie ustnej, puste odbijanie</w:t>
            </w:r>
          </w:p>
        </w:tc>
        <w:tc>
          <w:tcPr>
            <w:tcW w:w="1932" w:type="dxa"/>
          </w:tcPr>
          <w:p w14:paraId="0DC2ACEA" w14:textId="77777777" w:rsidR="00E96702" w:rsidRDefault="0095540B">
            <w:r>
              <w:t>Niezbyt często</w:t>
            </w:r>
          </w:p>
        </w:tc>
      </w:tr>
      <w:tr w:rsidR="00E96702" w14:paraId="60E9F7E8" w14:textId="77777777">
        <w:tc>
          <w:tcPr>
            <w:tcW w:w="9077" w:type="dxa"/>
            <w:gridSpan w:val="2"/>
          </w:tcPr>
          <w:p w14:paraId="6D6F4654" w14:textId="77777777" w:rsidR="00E96702" w:rsidRDefault="0095540B">
            <w:pPr>
              <w:keepNext/>
              <w:rPr>
                <w:rStyle w:val="Emphasis"/>
              </w:rPr>
            </w:pPr>
            <w:r>
              <w:rPr>
                <w:rStyle w:val="Emphasis"/>
              </w:rPr>
              <w:t>Zaburzenia skóry i tkanki podskórnej</w:t>
            </w:r>
          </w:p>
        </w:tc>
      </w:tr>
      <w:tr w:rsidR="00E96702" w14:paraId="347933AF" w14:textId="77777777">
        <w:tc>
          <w:tcPr>
            <w:tcW w:w="7145" w:type="dxa"/>
          </w:tcPr>
          <w:p w14:paraId="0AD85A2C" w14:textId="77777777" w:rsidR="00E96702" w:rsidRDefault="0095540B">
            <w:pPr>
              <w:keepNext/>
            </w:pPr>
            <w:r>
              <w:t>Wysypka</w:t>
            </w:r>
          </w:p>
        </w:tc>
        <w:tc>
          <w:tcPr>
            <w:tcW w:w="1932" w:type="dxa"/>
          </w:tcPr>
          <w:p w14:paraId="29080A20" w14:textId="77777777" w:rsidR="00E96702" w:rsidRDefault="0095540B">
            <w:r>
              <w:t>Niezbyt często</w:t>
            </w:r>
          </w:p>
        </w:tc>
      </w:tr>
      <w:tr w:rsidR="00E96702" w14:paraId="7EFC512B" w14:textId="77777777">
        <w:tc>
          <w:tcPr>
            <w:tcW w:w="9077" w:type="dxa"/>
            <w:gridSpan w:val="2"/>
          </w:tcPr>
          <w:p w14:paraId="28C0940C" w14:textId="77777777" w:rsidR="00E96702" w:rsidRDefault="0095540B">
            <w:pPr>
              <w:keepNext/>
              <w:rPr>
                <w:rStyle w:val="Emphasis"/>
              </w:rPr>
            </w:pPr>
            <w:r>
              <w:rPr>
                <w:rStyle w:val="Emphasis"/>
              </w:rPr>
              <w:t>Zaburzenia mięśniowo-szkieletowe i tkanki łącznej</w:t>
            </w:r>
          </w:p>
        </w:tc>
      </w:tr>
      <w:tr w:rsidR="00E96702" w14:paraId="228B82E0" w14:textId="77777777">
        <w:tc>
          <w:tcPr>
            <w:tcW w:w="7145" w:type="dxa"/>
          </w:tcPr>
          <w:p w14:paraId="30C2E365" w14:textId="77777777" w:rsidR="00E96702" w:rsidRDefault="0095540B">
            <w:pPr>
              <w:keepNext/>
            </w:pPr>
            <w:r>
              <w:t>Ból stawów</w:t>
            </w:r>
          </w:p>
        </w:tc>
        <w:tc>
          <w:tcPr>
            <w:tcW w:w="1932" w:type="dxa"/>
          </w:tcPr>
          <w:p w14:paraId="3F9A6E70" w14:textId="77777777" w:rsidR="00E96702" w:rsidRDefault="0095540B">
            <w:r>
              <w:t>Niezbyt często</w:t>
            </w:r>
          </w:p>
        </w:tc>
      </w:tr>
      <w:tr w:rsidR="00E96702" w14:paraId="642F23A3" w14:textId="77777777">
        <w:tc>
          <w:tcPr>
            <w:tcW w:w="7145" w:type="dxa"/>
          </w:tcPr>
          <w:p w14:paraId="5D288A17" w14:textId="77777777" w:rsidR="00E96702" w:rsidRDefault="0095540B">
            <w:pPr>
              <w:keepNext/>
            </w:pPr>
            <w:r>
              <w:t>Dreszcze</w:t>
            </w:r>
          </w:p>
        </w:tc>
        <w:tc>
          <w:tcPr>
            <w:tcW w:w="1932" w:type="dxa"/>
          </w:tcPr>
          <w:p w14:paraId="77466F77" w14:textId="77777777" w:rsidR="00E96702" w:rsidRDefault="0095540B">
            <w:r>
              <w:t>Rzadko</w:t>
            </w:r>
          </w:p>
        </w:tc>
      </w:tr>
      <w:tr w:rsidR="00E96702" w14:paraId="13EEA5E6" w14:textId="77777777">
        <w:tc>
          <w:tcPr>
            <w:tcW w:w="9077" w:type="dxa"/>
            <w:gridSpan w:val="2"/>
          </w:tcPr>
          <w:p w14:paraId="7F770458" w14:textId="77777777" w:rsidR="00E96702" w:rsidRDefault="0095540B">
            <w:pPr>
              <w:keepNext/>
              <w:rPr>
                <w:rStyle w:val="Emphasis"/>
              </w:rPr>
            </w:pPr>
            <w:r>
              <w:rPr>
                <w:rStyle w:val="Emphasis"/>
              </w:rPr>
              <w:t>Zaburzenia ogólne i stany w miejscu podania</w:t>
            </w:r>
          </w:p>
        </w:tc>
      </w:tr>
      <w:tr w:rsidR="00E96702" w14:paraId="32C4D8E8" w14:textId="77777777">
        <w:tc>
          <w:tcPr>
            <w:tcW w:w="7145" w:type="dxa"/>
          </w:tcPr>
          <w:p w14:paraId="455F1AD5" w14:textId="77777777" w:rsidR="00E96702" w:rsidRDefault="0095540B">
            <w:pPr>
              <w:keepNext/>
            </w:pPr>
            <w:r>
              <w:t>Zmęczenie</w:t>
            </w:r>
          </w:p>
        </w:tc>
        <w:tc>
          <w:tcPr>
            <w:tcW w:w="1932" w:type="dxa"/>
          </w:tcPr>
          <w:p w14:paraId="6C9532A5" w14:textId="77777777" w:rsidR="00E96702" w:rsidRDefault="0095540B">
            <w:r>
              <w:t>Bardzo często</w:t>
            </w:r>
          </w:p>
        </w:tc>
      </w:tr>
      <w:tr w:rsidR="00E96702" w14:paraId="6C5103CC" w14:textId="77777777">
        <w:tc>
          <w:tcPr>
            <w:tcW w:w="7145" w:type="dxa"/>
          </w:tcPr>
          <w:p w14:paraId="44C20496" w14:textId="77777777" w:rsidR="00E96702" w:rsidRDefault="0095540B">
            <w:r>
              <w:t>Gorączka</w:t>
            </w:r>
          </w:p>
        </w:tc>
        <w:tc>
          <w:tcPr>
            <w:tcW w:w="1932" w:type="dxa"/>
          </w:tcPr>
          <w:p w14:paraId="6236D332" w14:textId="77777777" w:rsidR="00E96702" w:rsidRDefault="0095540B">
            <w:r>
              <w:t>Niezbyt często</w:t>
            </w:r>
          </w:p>
        </w:tc>
      </w:tr>
    </w:tbl>
    <w:p w14:paraId="7B0B92C1" w14:textId="77777777" w:rsidR="00E96702" w:rsidRDefault="00E96702"/>
    <w:p w14:paraId="0609FAD1" w14:textId="77777777" w:rsidR="00E96702" w:rsidRDefault="0095540B">
      <w:pPr>
        <w:pStyle w:val="HeadingUnderlined"/>
      </w:pPr>
      <w:r>
        <w:t>Dzieci i młodzież</w:t>
      </w:r>
    </w:p>
    <w:p w14:paraId="47E7CB6A" w14:textId="65A73C94" w:rsidR="00E96702" w:rsidRDefault="0095540B">
      <w:r>
        <w:t>Przeprowadzono badanie kliniczne u </w:t>
      </w:r>
      <w:r w:rsidR="005F1FDF">
        <w:t>550 </w:t>
      </w:r>
      <w:r>
        <w:t xml:space="preserve">dzieci w wieku od </w:t>
      </w:r>
      <w:r w:rsidR="005F1FDF">
        <w:t xml:space="preserve">2 </w:t>
      </w:r>
      <w:r>
        <w:t>do &lt;</w:t>
      </w:r>
      <w:r w:rsidR="000850EA">
        <w:t> </w:t>
      </w:r>
      <w:r>
        <w:t>18 lat. Na podstawie wyników tego badania przewiduje się, że rodzaje działań niepożądanych u dzieci będą podobne, jak u dorosłych. Niektóre działania niepożądane występowały częściej u dzieci niż u dorosłych, w tym zmęczenie (</w:t>
      </w:r>
      <w:r w:rsidR="005F1FDF">
        <w:t>35,7</w:t>
      </w:r>
      <w:r>
        <w:t>% w porównaniu do 30,2%), ból brzucha (</w:t>
      </w:r>
      <w:r w:rsidR="009A441C">
        <w:t>27,8</w:t>
      </w:r>
      <w:r>
        <w:t>% w porównaniu do 18,4%), wymioty (</w:t>
      </w:r>
      <w:r w:rsidR="009A441C">
        <w:t>3,8</w:t>
      </w:r>
      <w:r>
        <w:t>% w porównaniu do 0,2%), zmniejszone łaknienie (</w:t>
      </w:r>
      <w:r w:rsidR="009A441C">
        <w:t>21,4</w:t>
      </w:r>
      <w:r>
        <w:t>% w porównaniu do 15,7%) i gorączka (</w:t>
      </w:r>
      <w:r w:rsidR="009A441C">
        <w:t>2,4</w:t>
      </w:r>
      <w:r>
        <w:t>% w porównaniu do 0,8%).</w:t>
      </w:r>
    </w:p>
    <w:p w14:paraId="227370C9" w14:textId="77777777" w:rsidR="00E96702" w:rsidRDefault="00E96702"/>
    <w:p w14:paraId="41BA893D" w14:textId="77777777" w:rsidR="00E96702" w:rsidRDefault="0095540B">
      <w:pPr>
        <w:pStyle w:val="HeadingUnderlined"/>
      </w:pPr>
      <w:r>
        <w:t>Zgłaszanie podejrzewanych działań niepożądanych</w:t>
      </w:r>
    </w:p>
    <w:p w14:paraId="0F11E81E" w14:textId="77777777" w:rsidR="00BF19A5" w:rsidRDefault="0095540B" w:rsidP="00BF19A5">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00BF19A5">
        <w:t xml:space="preserve">Departament Monitorowania </w:t>
      </w:r>
    </w:p>
    <w:p w14:paraId="3D027FD8" w14:textId="77777777" w:rsidR="00BF19A5" w:rsidRDefault="00BF19A5" w:rsidP="00BF19A5">
      <w:r>
        <w:t xml:space="preserve">Niepożądanych Działań Produktów Leczniczych Urzędu Rejestracji Produktów Leczniczych, </w:t>
      </w:r>
    </w:p>
    <w:p w14:paraId="23EF5D1C" w14:textId="77777777" w:rsidR="00BF19A5" w:rsidRDefault="00BF19A5" w:rsidP="00BF19A5">
      <w:r>
        <w:t xml:space="preserve">Wyrobów Medycznych i Produktów Biobójczych </w:t>
      </w:r>
    </w:p>
    <w:p w14:paraId="30D3B445" w14:textId="77777777" w:rsidR="00BF19A5" w:rsidRDefault="00BF19A5" w:rsidP="00BF19A5">
      <w:r>
        <w:t xml:space="preserve">Al. Jerozolimskie 181C </w:t>
      </w:r>
    </w:p>
    <w:p w14:paraId="44B77E47" w14:textId="77777777" w:rsidR="00BF19A5" w:rsidRDefault="00BF19A5" w:rsidP="00BF19A5">
      <w:r>
        <w:t xml:space="preserve">PL-02 222 Warszawa </w:t>
      </w:r>
    </w:p>
    <w:p w14:paraId="4E744102" w14:textId="77777777" w:rsidR="00BF19A5" w:rsidRDefault="00BF19A5" w:rsidP="00BF19A5">
      <w:r>
        <w:t xml:space="preserve">Tel.: + 48 22 49 21 301 </w:t>
      </w:r>
    </w:p>
    <w:p w14:paraId="5CEED40C" w14:textId="77777777" w:rsidR="00BF19A5" w:rsidRDefault="00BF19A5" w:rsidP="00BF19A5">
      <w:r>
        <w:t xml:space="preserve">Faks: + 48 22 49 21 309 </w:t>
      </w:r>
    </w:p>
    <w:p w14:paraId="2C2FC82C" w14:textId="4EF3DDA7" w:rsidR="00E96702" w:rsidRDefault="00BF19A5" w:rsidP="00BF19A5">
      <w:r>
        <w:t xml:space="preserve">Strona internetowa: </w:t>
      </w:r>
      <w:r>
        <w:fldChar w:fldCharType="begin"/>
      </w:r>
      <w:r>
        <w:instrText>HYPERLINK "https://smz.ezdrowie.gov.pl"</w:instrText>
      </w:r>
      <w:r>
        <w:fldChar w:fldCharType="separate"/>
      </w:r>
      <w:r w:rsidRPr="0021478A">
        <w:rPr>
          <w:rStyle w:val="Hyperlink"/>
        </w:rPr>
        <w:t>https://smz.ezdrowie.gov.pl</w:t>
      </w:r>
      <w:r>
        <w:fldChar w:fldCharType="end"/>
      </w:r>
      <w:r>
        <w:t xml:space="preserve"> </w:t>
      </w:r>
    </w:p>
    <w:p w14:paraId="401EFFC0" w14:textId="77777777" w:rsidR="00E96702" w:rsidRDefault="00E96702"/>
    <w:p w14:paraId="00463255" w14:textId="77777777" w:rsidR="00E96702" w:rsidRPr="00EC4F10" w:rsidRDefault="0095540B" w:rsidP="00EC4F10">
      <w:pPr>
        <w:rPr>
          <w:b/>
          <w:bCs/>
        </w:rPr>
      </w:pPr>
      <w:r w:rsidRPr="00EC4F10">
        <w:rPr>
          <w:b/>
          <w:bCs/>
        </w:rPr>
        <w:t>4.9</w:t>
      </w:r>
      <w:r w:rsidRPr="00EC4F10">
        <w:rPr>
          <w:b/>
          <w:bCs/>
        </w:rPr>
        <w:tab/>
        <w:t>Przedawkowanie</w:t>
      </w:r>
    </w:p>
    <w:p w14:paraId="2005A898" w14:textId="77777777" w:rsidR="00E96702" w:rsidRDefault="00E96702">
      <w:pPr>
        <w:keepNext/>
      </w:pPr>
    </w:p>
    <w:p w14:paraId="14218E2A" w14:textId="77777777" w:rsidR="00E96702" w:rsidRDefault="0095540B">
      <w:r>
        <w:t>Zgłaszano przypadki podania wielu dawek produktu leczniczego Vaxchora w odstępie kilku tygodni. Zgłaszane działania niepożądane były porównywalne do obserwowanych po podaniu zalecanej dawki.</w:t>
      </w:r>
    </w:p>
    <w:p w14:paraId="665792EF" w14:textId="77777777" w:rsidR="00E96702" w:rsidRDefault="00E96702"/>
    <w:p w14:paraId="48ACC513" w14:textId="77777777" w:rsidR="00E96702" w:rsidRDefault="00E96702"/>
    <w:p w14:paraId="2711331C" w14:textId="77777777" w:rsidR="00E96702" w:rsidRPr="00EC4F10" w:rsidRDefault="0095540B" w:rsidP="00EC4F10">
      <w:pPr>
        <w:rPr>
          <w:b/>
          <w:bCs/>
        </w:rPr>
      </w:pPr>
      <w:r w:rsidRPr="00EC4F10">
        <w:rPr>
          <w:b/>
          <w:bCs/>
        </w:rPr>
        <w:t>5.</w:t>
      </w:r>
      <w:r w:rsidRPr="00EC4F10">
        <w:rPr>
          <w:b/>
          <w:bCs/>
        </w:rPr>
        <w:tab/>
        <w:t>WŁAŚCIWOŚCI FARMAKOLOGICZNE</w:t>
      </w:r>
    </w:p>
    <w:p w14:paraId="59E27E68" w14:textId="77777777" w:rsidR="00E96702" w:rsidRDefault="00E96702">
      <w:pPr>
        <w:keepNext/>
      </w:pPr>
    </w:p>
    <w:p w14:paraId="61182F53" w14:textId="77777777" w:rsidR="00E96702" w:rsidRPr="00EC4F10" w:rsidRDefault="0095540B" w:rsidP="00EC4F10">
      <w:pPr>
        <w:rPr>
          <w:b/>
          <w:bCs/>
        </w:rPr>
      </w:pPr>
      <w:r w:rsidRPr="00EC4F10">
        <w:rPr>
          <w:b/>
          <w:bCs/>
        </w:rPr>
        <w:t>5.1</w:t>
      </w:r>
      <w:r w:rsidRPr="00EC4F10">
        <w:rPr>
          <w:b/>
          <w:bCs/>
        </w:rPr>
        <w:tab/>
        <w:t>Właściwości farmakodynamiczne</w:t>
      </w:r>
    </w:p>
    <w:p w14:paraId="77DC714B" w14:textId="77777777" w:rsidR="00E96702" w:rsidRDefault="00E96702">
      <w:pPr>
        <w:keepNext/>
      </w:pPr>
    </w:p>
    <w:p w14:paraId="5EF34AE5" w14:textId="35D7EF1A" w:rsidR="00E96702" w:rsidRDefault="0095540B">
      <w:r>
        <w:t>Grupa farmakoterapeutyczna: szczepionki</w:t>
      </w:r>
      <w:r w:rsidR="00F32985">
        <w:t>,</w:t>
      </w:r>
      <w:r>
        <w:t xml:space="preserve"> </w:t>
      </w:r>
      <w:r w:rsidR="00F32985">
        <w:t xml:space="preserve">szczepionki </w:t>
      </w:r>
      <w:r w:rsidR="00654CF6">
        <w:t>przeciw</w:t>
      </w:r>
      <w:r w:rsidR="00F32985">
        <w:t> </w:t>
      </w:r>
      <w:r w:rsidR="00B23FA7">
        <w:t>cholerze</w:t>
      </w:r>
      <w:r>
        <w:t>, kod ATC: J07AE02</w:t>
      </w:r>
    </w:p>
    <w:p w14:paraId="368D2EC0" w14:textId="77777777" w:rsidR="00E96702" w:rsidRDefault="00E96702"/>
    <w:p w14:paraId="61474361" w14:textId="77777777" w:rsidR="00E96702" w:rsidRDefault="0095540B">
      <w:pPr>
        <w:pStyle w:val="HeadingUnderlined"/>
      </w:pPr>
      <w:r>
        <w:t>Mechanizm działania</w:t>
      </w:r>
    </w:p>
    <w:p w14:paraId="05F0D2F5" w14:textId="2398AA50" w:rsidR="00E96702" w:rsidRDefault="0095540B">
      <w:r>
        <w:t>Produkt leczniczy Vaxchora zawiera żywe, atenuowane bakterie przecinkowca cholery (</w:t>
      </w:r>
      <w:r>
        <w:rPr>
          <w:rStyle w:val="Emphasis"/>
        </w:rPr>
        <w:t>V</w:t>
      </w:r>
      <w:r w:rsidR="00F32985">
        <w:rPr>
          <w:rStyle w:val="Emphasis"/>
        </w:rPr>
        <w:t>ibrio</w:t>
      </w:r>
      <w:r>
        <w:rPr>
          <w:rStyle w:val="Emphasis"/>
        </w:rPr>
        <w:t xml:space="preserve"> cholerae</w:t>
      </w:r>
      <w:r>
        <w:t xml:space="preserve">, serogrupa O1, serotyp Inaba, biotyp klasyczny, szczep CVD 103-HgR), które namnażają się </w:t>
      </w:r>
      <w:r>
        <w:lastRenderedPageBreak/>
        <w:t xml:space="preserve">w przewodzie pokarmowym i wywołują odpowiedź humoralną w postaci pojawiania się w surowicy przeciwciał o działaniu bójczym wobec przecinkowca oraz odpowiedź komórkową w postaci wytwarzania limfocytów B pamięci. Nie określono mechanizmów immunologicznych zapewniających ochronę przed cholerą po przyjęciu </w:t>
      </w:r>
      <w:r w:rsidR="00F32985">
        <w:t>tej szczepionki</w:t>
      </w:r>
      <w:r>
        <w:t xml:space="preserve">. Jednak zaobserwowany w surowicy wzrost ilości przeciwciał wykazujących działanie bójcze wobec przecinkowca cholery 10 dni po szczepieniu </w:t>
      </w:r>
      <w:r w:rsidR="00F32985">
        <w:t>tą szczepionką</w:t>
      </w:r>
      <w:r w:rsidR="00504ECA">
        <w:t xml:space="preserve"> </w:t>
      </w:r>
      <w:r>
        <w:t>był wiązany z ochroną, co ustalono w badaniu osób zakażonych przecinkowcem cholery w warunkach doświadczalnych.</w:t>
      </w:r>
    </w:p>
    <w:p w14:paraId="02D9B801" w14:textId="77777777" w:rsidR="00E96702" w:rsidRDefault="00E96702"/>
    <w:p w14:paraId="7574BE46" w14:textId="77777777" w:rsidR="00E96702" w:rsidRDefault="0095540B">
      <w:pPr>
        <w:pStyle w:val="HeadingUnderlined"/>
      </w:pPr>
      <w:r>
        <w:t>Skuteczność w przypadku zakażenia przecinkowcem cholery w warunkach doświadczalnych</w:t>
      </w:r>
    </w:p>
    <w:p w14:paraId="1AB48150" w14:textId="32CA86C5" w:rsidR="00E96702" w:rsidRDefault="0095540B">
      <w:r>
        <w:t xml:space="preserve">Skuteczność szczepionki Vaxchora w zapobieganiu cholerze wykazano </w:t>
      </w:r>
      <w:bookmarkStart w:id="0" w:name="_Hlk62550518"/>
      <w:r>
        <w:t>w badaniu z udziałem osób, które w warunkach doświadczalnych zakażono przecinkowcem cholery</w:t>
      </w:r>
      <w:bookmarkEnd w:id="0"/>
      <w:r>
        <w:t xml:space="preserve">. W badaniu uczestniczyło 197 zdrowych dorosłych ochotników, których średnia wieku wynosiła 31 lat (zakres od 18 do 45 lat; 62,9% mężczyzn, 37,1% kobiet). Po podziale na grupy przyjmujące </w:t>
      </w:r>
      <w:r w:rsidR="002F6280">
        <w:t>szczepionkę</w:t>
      </w:r>
      <w:r>
        <w:t xml:space="preserve"> lub placebo część uczestników zakażono w warunkach doświadczalnych żywymi przecinkowcami cholery 10 dni po szczepieniu (n = 68) lub 3 miesiące po szczepieniu (n = 66). Dane dotyczące skuteczności ochrony przed biegunką umiarkowaną do ciężkiej przedstawiono w tabeli 1.</w:t>
      </w:r>
    </w:p>
    <w:p w14:paraId="19D1AA9D" w14:textId="77777777" w:rsidR="00E96702" w:rsidRDefault="00E96702"/>
    <w:p w14:paraId="1B8B06A1" w14:textId="22920BB5" w:rsidR="00E96702" w:rsidRDefault="0095540B">
      <w:r>
        <w:t xml:space="preserve">U osób z grupą krwi 0 skuteczność ochrony przed biegunką umiarkowaną do ciężkiej wyniosła </w:t>
      </w:r>
      <w:r w:rsidR="002F6280">
        <w:t>84,8</w:t>
      </w:r>
      <w:r>
        <w:t xml:space="preserve">% w grupie zakażonej 10 dni po szczepieniu (n = 19) oraz </w:t>
      </w:r>
      <w:r w:rsidR="002F6280">
        <w:t>78,4</w:t>
      </w:r>
      <w:r>
        <w:t>% w grupie zakażonej 3 miesiące po szczepieniu (n = 20).</w:t>
      </w:r>
    </w:p>
    <w:p w14:paraId="3F8A0DCE" w14:textId="77777777" w:rsidR="00E96702" w:rsidRDefault="00E96702"/>
    <w:p w14:paraId="2E405DF8" w14:textId="57D7DF0B" w:rsidR="00E96702" w:rsidRDefault="0095540B" w:rsidP="00EC4F10">
      <w:pPr>
        <w:pStyle w:val="TableTitle"/>
        <w:ind w:left="851" w:hanging="851"/>
        <w:outlineLvl w:val="9"/>
      </w:pPr>
      <w:r>
        <w:t xml:space="preserve">Tabela 1: Skuteczność ochrony przed biegunką umiarkowaną do ciężkiej po przeprowadzonym w warunkach doświadczalnych zakażeniu bakteriami </w:t>
      </w:r>
      <w:r>
        <w:rPr>
          <w:rStyle w:val="Emphasis"/>
        </w:rPr>
        <w:t>V</w:t>
      </w:r>
      <w:r w:rsidR="002F6280">
        <w:rPr>
          <w:rStyle w:val="Emphasis"/>
        </w:rPr>
        <w:t>ibrio</w:t>
      </w:r>
      <w:r>
        <w:t> </w:t>
      </w:r>
      <w:r>
        <w:rPr>
          <w:rStyle w:val="Emphasis"/>
        </w:rPr>
        <w:t>cholerae</w:t>
      </w:r>
      <w:r>
        <w:t xml:space="preserve"> O1 Inaba, biotyp El Tor, 10 dni oraz 3 miesiące po szczepieniu (populacja zakwalifikowana do leczenia)</w:t>
      </w:r>
    </w:p>
    <w:p w14:paraId="7661CD87" w14:textId="77777777" w:rsidR="00E96702" w:rsidRDefault="00E96702" w:rsidP="000850EA">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Look w:val="04A0" w:firstRow="1" w:lastRow="0" w:firstColumn="1" w:lastColumn="0" w:noHBand="0" w:noVBand="1"/>
      </w:tblPr>
      <w:tblGrid>
        <w:gridCol w:w="2277"/>
        <w:gridCol w:w="2260"/>
        <w:gridCol w:w="2260"/>
        <w:gridCol w:w="2260"/>
      </w:tblGrid>
      <w:tr w:rsidR="00E96702" w:rsidRPr="00075E39" w14:paraId="4839EC73" w14:textId="77777777" w:rsidTr="002F6280">
        <w:tc>
          <w:tcPr>
            <w:tcW w:w="2277" w:type="dxa"/>
            <w:tcBorders>
              <w:top w:val="single" w:sz="12" w:space="0" w:color="auto"/>
              <w:left w:val="single" w:sz="12" w:space="0" w:color="auto"/>
              <w:bottom w:val="single" w:sz="12" w:space="0" w:color="auto"/>
              <w:right w:val="nil"/>
            </w:tcBorders>
            <w:vAlign w:val="bottom"/>
          </w:tcPr>
          <w:p w14:paraId="2116BD77" w14:textId="77777777" w:rsidR="00E96702" w:rsidRPr="00504ECA" w:rsidRDefault="0095540B" w:rsidP="000850EA">
            <w:pPr>
              <w:pStyle w:val="normal10pt"/>
              <w:keepNext/>
              <w:rPr>
                <w:rStyle w:val="Strong"/>
                <w:sz w:val="22"/>
                <w:szCs w:val="24"/>
              </w:rPr>
            </w:pPr>
            <w:r w:rsidRPr="00A13F2C">
              <w:rPr>
                <w:rStyle w:val="Strong"/>
                <w:sz w:val="22"/>
                <w:szCs w:val="24"/>
              </w:rPr>
              <w:t>Parametr</w:t>
            </w:r>
          </w:p>
        </w:tc>
        <w:tc>
          <w:tcPr>
            <w:tcW w:w="2260" w:type="dxa"/>
            <w:tcBorders>
              <w:top w:val="single" w:sz="12" w:space="0" w:color="auto"/>
              <w:left w:val="nil"/>
              <w:bottom w:val="single" w:sz="12" w:space="0" w:color="auto"/>
              <w:right w:val="nil"/>
            </w:tcBorders>
            <w:vAlign w:val="bottom"/>
          </w:tcPr>
          <w:p w14:paraId="006F36CE" w14:textId="77777777" w:rsidR="00E96702" w:rsidRPr="00A13F2C" w:rsidRDefault="0095540B" w:rsidP="000850EA">
            <w:pPr>
              <w:pStyle w:val="normal10pt"/>
              <w:keepNext/>
              <w:jc w:val="center"/>
              <w:rPr>
                <w:rStyle w:val="Strong"/>
                <w:sz w:val="22"/>
                <w:szCs w:val="24"/>
              </w:rPr>
            </w:pPr>
            <w:r w:rsidRPr="00A13F2C">
              <w:rPr>
                <w:rStyle w:val="Strong"/>
                <w:sz w:val="22"/>
                <w:szCs w:val="24"/>
              </w:rPr>
              <w:t>Zakażenie 10 dni po podaniu produktu Vaxchora</w:t>
            </w:r>
          </w:p>
          <w:p w14:paraId="459635A2" w14:textId="77777777" w:rsidR="00E96702" w:rsidRPr="00A13F2C" w:rsidRDefault="0095540B" w:rsidP="000850EA">
            <w:pPr>
              <w:pStyle w:val="normal10pt"/>
              <w:keepNext/>
              <w:jc w:val="center"/>
              <w:rPr>
                <w:sz w:val="22"/>
                <w:szCs w:val="24"/>
              </w:rPr>
            </w:pPr>
            <w:r w:rsidRPr="00A13F2C">
              <w:rPr>
                <w:sz w:val="22"/>
                <w:szCs w:val="24"/>
              </w:rPr>
              <w:t>N = 35</w:t>
            </w:r>
          </w:p>
        </w:tc>
        <w:tc>
          <w:tcPr>
            <w:tcW w:w="2260" w:type="dxa"/>
            <w:tcBorders>
              <w:top w:val="single" w:sz="12" w:space="0" w:color="auto"/>
              <w:left w:val="nil"/>
              <w:bottom w:val="single" w:sz="12" w:space="0" w:color="auto"/>
              <w:right w:val="nil"/>
            </w:tcBorders>
            <w:vAlign w:val="bottom"/>
          </w:tcPr>
          <w:p w14:paraId="2E94558E" w14:textId="77777777" w:rsidR="00E96702" w:rsidRPr="00A13F2C" w:rsidRDefault="0095540B" w:rsidP="000850EA">
            <w:pPr>
              <w:pStyle w:val="normal10pt"/>
              <w:keepNext/>
              <w:jc w:val="center"/>
              <w:rPr>
                <w:rStyle w:val="Strong"/>
                <w:sz w:val="22"/>
                <w:szCs w:val="24"/>
              </w:rPr>
            </w:pPr>
            <w:r w:rsidRPr="00A13F2C">
              <w:rPr>
                <w:rStyle w:val="Strong"/>
                <w:sz w:val="22"/>
                <w:szCs w:val="24"/>
              </w:rPr>
              <w:t>Zakażenie 3 miesiące po podaniu produktu Vaxchora</w:t>
            </w:r>
          </w:p>
          <w:p w14:paraId="0BA2F564" w14:textId="77777777" w:rsidR="00E96702" w:rsidRPr="00A13F2C" w:rsidRDefault="0095540B" w:rsidP="000850EA">
            <w:pPr>
              <w:pStyle w:val="normal10pt"/>
              <w:keepNext/>
              <w:jc w:val="center"/>
              <w:rPr>
                <w:sz w:val="22"/>
                <w:szCs w:val="24"/>
              </w:rPr>
            </w:pPr>
            <w:r w:rsidRPr="00A13F2C">
              <w:rPr>
                <w:sz w:val="22"/>
                <w:szCs w:val="24"/>
              </w:rPr>
              <w:t>N = 33</w:t>
            </w:r>
          </w:p>
        </w:tc>
        <w:tc>
          <w:tcPr>
            <w:tcW w:w="2260" w:type="dxa"/>
            <w:tcBorders>
              <w:top w:val="single" w:sz="12" w:space="0" w:color="auto"/>
              <w:left w:val="nil"/>
              <w:bottom w:val="single" w:sz="12" w:space="0" w:color="auto"/>
              <w:right w:val="single" w:sz="12" w:space="0" w:color="auto"/>
            </w:tcBorders>
            <w:vAlign w:val="bottom"/>
          </w:tcPr>
          <w:p w14:paraId="05ACB7C7" w14:textId="77777777" w:rsidR="00E96702" w:rsidRPr="00A13F2C" w:rsidRDefault="0095540B" w:rsidP="000850EA">
            <w:pPr>
              <w:pStyle w:val="normal10pt"/>
              <w:keepNext/>
              <w:jc w:val="center"/>
              <w:rPr>
                <w:rStyle w:val="Strong"/>
                <w:sz w:val="22"/>
                <w:szCs w:val="24"/>
              </w:rPr>
            </w:pPr>
            <w:r w:rsidRPr="00A13F2C">
              <w:rPr>
                <w:rStyle w:val="Strong"/>
                <w:sz w:val="22"/>
                <w:szCs w:val="24"/>
              </w:rPr>
              <w:t>Zakażenie 10 dni lub 3 miesiące po podaniu placebo (łącznie)</w:t>
            </w:r>
          </w:p>
          <w:p w14:paraId="4E12F47B" w14:textId="77777777" w:rsidR="00E96702" w:rsidRPr="00A13F2C" w:rsidRDefault="0095540B" w:rsidP="000850EA">
            <w:pPr>
              <w:pStyle w:val="normal10pt"/>
              <w:keepNext/>
              <w:jc w:val="center"/>
              <w:rPr>
                <w:sz w:val="22"/>
                <w:szCs w:val="24"/>
              </w:rPr>
            </w:pPr>
            <w:r w:rsidRPr="00A13F2C">
              <w:rPr>
                <w:sz w:val="22"/>
                <w:szCs w:val="24"/>
              </w:rPr>
              <w:t>N = 66</w:t>
            </w:r>
          </w:p>
        </w:tc>
      </w:tr>
      <w:tr w:rsidR="00E96702" w:rsidRPr="00075E39" w14:paraId="455EF206" w14:textId="77777777" w:rsidTr="002F6280">
        <w:tc>
          <w:tcPr>
            <w:tcW w:w="2277" w:type="dxa"/>
            <w:tcBorders>
              <w:top w:val="single" w:sz="12" w:space="0" w:color="auto"/>
              <w:left w:val="single" w:sz="12" w:space="0" w:color="auto"/>
              <w:bottom w:val="nil"/>
              <w:right w:val="nil"/>
            </w:tcBorders>
          </w:tcPr>
          <w:p w14:paraId="7130C27A" w14:textId="77777777" w:rsidR="00E96702" w:rsidRPr="00A13F2C" w:rsidRDefault="0095540B" w:rsidP="000850EA">
            <w:pPr>
              <w:pStyle w:val="normal10pt"/>
              <w:keepNext/>
              <w:rPr>
                <w:sz w:val="22"/>
                <w:szCs w:val="24"/>
              </w:rPr>
            </w:pPr>
            <w:r w:rsidRPr="00A13F2C">
              <w:rPr>
                <w:sz w:val="22"/>
                <w:szCs w:val="24"/>
              </w:rPr>
              <w:t>Liczba uczestników z umiarkowaną lub ciężką biegunką (wskaźnik ataków choroby)</w:t>
            </w:r>
          </w:p>
        </w:tc>
        <w:tc>
          <w:tcPr>
            <w:tcW w:w="2260" w:type="dxa"/>
            <w:tcBorders>
              <w:top w:val="single" w:sz="12" w:space="0" w:color="auto"/>
              <w:left w:val="nil"/>
              <w:bottom w:val="nil"/>
              <w:right w:val="nil"/>
            </w:tcBorders>
          </w:tcPr>
          <w:p w14:paraId="76A1C631" w14:textId="77777777" w:rsidR="00E96702" w:rsidRPr="00A13F2C" w:rsidRDefault="0095540B" w:rsidP="000850EA">
            <w:pPr>
              <w:pStyle w:val="normal10pt"/>
              <w:keepNext/>
              <w:jc w:val="center"/>
              <w:rPr>
                <w:sz w:val="22"/>
                <w:szCs w:val="24"/>
              </w:rPr>
            </w:pPr>
            <w:r w:rsidRPr="00A13F2C">
              <w:rPr>
                <w:sz w:val="22"/>
                <w:szCs w:val="24"/>
              </w:rPr>
              <w:t>2 (5,7%)</w:t>
            </w:r>
          </w:p>
        </w:tc>
        <w:tc>
          <w:tcPr>
            <w:tcW w:w="2260" w:type="dxa"/>
            <w:tcBorders>
              <w:top w:val="single" w:sz="12" w:space="0" w:color="auto"/>
              <w:left w:val="nil"/>
              <w:bottom w:val="nil"/>
              <w:right w:val="nil"/>
            </w:tcBorders>
          </w:tcPr>
          <w:p w14:paraId="373D3A04" w14:textId="77777777" w:rsidR="00E96702" w:rsidRPr="00A13F2C" w:rsidRDefault="0095540B" w:rsidP="000850EA">
            <w:pPr>
              <w:pStyle w:val="normal10pt"/>
              <w:keepNext/>
              <w:jc w:val="center"/>
              <w:rPr>
                <w:sz w:val="22"/>
                <w:szCs w:val="24"/>
              </w:rPr>
            </w:pPr>
            <w:r w:rsidRPr="00A13F2C">
              <w:rPr>
                <w:sz w:val="22"/>
                <w:szCs w:val="24"/>
              </w:rPr>
              <w:t>4 (12,1%)</w:t>
            </w:r>
          </w:p>
        </w:tc>
        <w:tc>
          <w:tcPr>
            <w:tcW w:w="2260" w:type="dxa"/>
            <w:tcBorders>
              <w:top w:val="single" w:sz="12" w:space="0" w:color="auto"/>
              <w:left w:val="nil"/>
              <w:bottom w:val="nil"/>
              <w:right w:val="single" w:sz="12" w:space="0" w:color="auto"/>
            </w:tcBorders>
          </w:tcPr>
          <w:p w14:paraId="42E77ACD" w14:textId="77777777" w:rsidR="00E96702" w:rsidRPr="00A13F2C" w:rsidRDefault="0095540B" w:rsidP="000850EA">
            <w:pPr>
              <w:pStyle w:val="normal10pt"/>
              <w:keepNext/>
              <w:jc w:val="center"/>
              <w:rPr>
                <w:sz w:val="22"/>
                <w:szCs w:val="24"/>
              </w:rPr>
            </w:pPr>
            <w:r w:rsidRPr="00A13F2C">
              <w:rPr>
                <w:sz w:val="22"/>
                <w:szCs w:val="24"/>
              </w:rPr>
              <w:t>39 (59,1%)</w:t>
            </w:r>
          </w:p>
        </w:tc>
      </w:tr>
      <w:tr w:rsidR="00E96702" w:rsidRPr="00075E39" w14:paraId="19941FBE" w14:textId="77777777" w:rsidTr="002F6280">
        <w:tc>
          <w:tcPr>
            <w:tcW w:w="2277" w:type="dxa"/>
            <w:tcBorders>
              <w:top w:val="nil"/>
              <w:left w:val="single" w:sz="12" w:space="0" w:color="auto"/>
              <w:bottom w:val="single" w:sz="12" w:space="0" w:color="auto"/>
              <w:right w:val="nil"/>
            </w:tcBorders>
          </w:tcPr>
          <w:p w14:paraId="6677AB11" w14:textId="77777777" w:rsidR="00E96702" w:rsidRPr="00A13F2C" w:rsidRDefault="0095540B" w:rsidP="000850EA">
            <w:pPr>
              <w:pStyle w:val="normal10pt"/>
              <w:keepNext/>
              <w:rPr>
                <w:sz w:val="22"/>
                <w:szCs w:val="24"/>
              </w:rPr>
            </w:pPr>
            <w:r w:rsidRPr="00A13F2C">
              <w:rPr>
                <w:sz w:val="22"/>
                <w:szCs w:val="24"/>
              </w:rPr>
              <w:t>Skuteczność ochrony %</w:t>
            </w:r>
          </w:p>
          <w:p w14:paraId="17EA91AE" w14:textId="77777777" w:rsidR="00E96702" w:rsidRPr="00A13F2C" w:rsidRDefault="0095540B">
            <w:pPr>
              <w:pStyle w:val="normal10pt"/>
              <w:rPr>
                <w:sz w:val="22"/>
                <w:szCs w:val="24"/>
              </w:rPr>
            </w:pPr>
            <w:r w:rsidRPr="00A13F2C">
              <w:rPr>
                <w:sz w:val="22"/>
                <w:szCs w:val="24"/>
              </w:rPr>
              <w:t>[CI 95%]</w:t>
            </w:r>
          </w:p>
        </w:tc>
        <w:tc>
          <w:tcPr>
            <w:tcW w:w="2260" w:type="dxa"/>
            <w:tcBorders>
              <w:top w:val="nil"/>
              <w:left w:val="nil"/>
              <w:bottom w:val="single" w:sz="12" w:space="0" w:color="auto"/>
              <w:right w:val="nil"/>
            </w:tcBorders>
          </w:tcPr>
          <w:p w14:paraId="1CE38645" w14:textId="77777777" w:rsidR="00E96702" w:rsidRPr="00A13F2C" w:rsidRDefault="0095540B">
            <w:pPr>
              <w:pStyle w:val="normal10pt"/>
              <w:jc w:val="center"/>
              <w:rPr>
                <w:sz w:val="22"/>
                <w:szCs w:val="24"/>
              </w:rPr>
            </w:pPr>
            <w:r w:rsidRPr="00A13F2C">
              <w:rPr>
                <w:sz w:val="22"/>
                <w:szCs w:val="24"/>
              </w:rPr>
              <w:t>90,3%</w:t>
            </w:r>
          </w:p>
          <w:p w14:paraId="5FA2D889" w14:textId="77777777" w:rsidR="00E96702" w:rsidRPr="00A13F2C" w:rsidRDefault="0095540B">
            <w:pPr>
              <w:pStyle w:val="normal10pt"/>
              <w:jc w:val="center"/>
              <w:rPr>
                <w:sz w:val="22"/>
                <w:szCs w:val="24"/>
              </w:rPr>
            </w:pPr>
            <w:r w:rsidRPr="00A13F2C">
              <w:rPr>
                <w:sz w:val="22"/>
                <w:szCs w:val="24"/>
              </w:rPr>
              <w:t>[62,7%; 100,0%]</w:t>
            </w:r>
          </w:p>
        </w:tc>
        <w:tc>
          <w:tcPr>
            <w:tcW w:w="2260" w:type="dxa"/>
            <w:tcBorders>
              <w:top w:val="nil"/>
              <w:left w:val="nil"/>
              <w:bottom w:val="single" w:sz="12" w:space="0" w:color="auto"/>
              <w:right w:val="nil"/>
            </w:tcBorders>
          </w:tcPr>
          <w:p w14:paraId="0559E6F3" w14:textId="77777777" w:rsidR="00E96702" w:rsidRPr="00A13F2C" w:rsidRDefault="0095540B">
            <w:pPr>
              <w:pStyle w:val="normal10pt"/>
              <w:jc w:val="center"/>
              <w:rPr>
                <w:sz w:val="22"/>
                <w:szCs w:val="24"/>
              </w:rPr>
            </w:pPr>
            <w:r w:rsidRPr="00A13F2C">
              <w:rPr>
                <w:sz w:val="22"/>
                <w:szCs w:val="24"/>
              </w:rPr>
              <w:t>79,5%</w:t>
            </w:r>
          </w:p>
          <w:p w14:paraId="64FDB052" w14:textId="77777777" w:rsidR="00E96702" w:rsidRPr="00A13F2C" w:rsidRDefault="0095540B">
            <w:pPr>
              <w:pStyle w:val="normal10pt"/>
              <w:jc w:val="center"/>
              <w:rPr>
                <w:sz w:val="22"/>
                <w:szCs w:val="24"/>
              </w:rPr>
            </w:pPr>
            <w:r w:rsidRPr="00A13F2C">
              <w:rPr>
                <w:sz w:val="22"/>
                <w:szCs w:val="24"/>
              </w:rPr>
              <w:t>[49,9%; 100,0%]</w:t>
            </w:r>
          </w:p>
        </w:tc>
        <w:tc>
          <w:tcPr>
            <w:tcW w:w="2260" w:type="dxa"/>
            <w:tcBorders>
              <w:top w:val="nil"/>
              <w:left w:val="nil"/>
              <w:bottom w:val="single" w:sz="12" w:space="0" w:color="auto"/>
              <w:right w:val="single" w:sz="12" w:space="0" w:color="auto"/>
            </w:tcBorders>
          </w:tcPr>
          <w:p w14:paraId="736234E5" w14:textId="77777777" w:rsidR="00E96702" w:rsidRPr="00A13F2C" w:rsidRDefault="0095540B">
            <w:pPr>
              <w:pStyle w:val="normal10pt"/>
              <w:jc w:val="center"/>
              <w:rPr>
                <w:sz w:val="22"/>
                <w:szCs w:val="24"/>
              </w:rPr>
            </w:pPr>
            <w:r w:rsidRPr="00A13F2C">
              <w:rPr>
                <w:sz w:val="22"/>
                <w:szCs w:val="24"/>
              </w:rPr>
              <w:t>-</w:t>
            </w:r>
          </w:p>
        </w:tc>
      </w:tr>
    </w:tbl>
    <w:p w14:paraId="0B108ED7" w14:textId="41D39893" w:rsidR="002F6280" w:rsidRPr="00504ECA" w:rsidRDefault="002F6280" w:rsidP="002F6280">
      <w:pPr>
        <w:pStyle w:val="TableFigureNote"/>
        <w:keepNext/>
        <w:keepLines/>
        <w:spacing w:before="0" w:line="240" w:lineRule="auto"/>
        <w:ind w:left="180" w:hanging="180"/>
        <w:rPr>
          <w:szCs w:val="22"/>
          <w:lang w:val="pl-PL"/>
        </w:rPr>
      </w:pPr>
      <w:r w:rsidRPr="00504ECA">
        <w:rPr>
          <w:lang w:val="pl-PL"/>
        </w:rPr>
        <w:t>N</w:t>
      </w:r>
      <w:r w:rsidR="000850EA">
        <w:rPr>
          <w:lang w:val="pl-PL"/>
        </w:rPr>
        <w:t> </w:t>
      </w:r>
      <w:r w:rsidRPr="00504ECA">
        <w:rPr>
          <w:lang w:val="pl-PL"/>
        </w:rPr>
        <w:t>=</w:t>
      </w:r>
      <w:r w:rsidR="000850EA">
        <w:rPr>
          <w:lang w:val="pl-PL"/>
        </w:rPr>
        <w:t xml:space="preserve"> </w:t>
      </w:r>
      <w:r w:rsidRPr="00504ECA">
        <w:rPr>
          <w:lang w:val="pl-PL"/>
        </w:rPr>
        <w:t>liczba uczestników badania, od których pobrano nadające się do analizy próbki</w:t>
      </w:r>
    </w:p>
    <w:p w14:paraId="154491FE" w14:textId="6FC7B09E" w:rsidR="002F6280" w:rsidRPr="00504ECA" w:rsidRDefault="002F6280" w:rsidP="002F6280">
      <w:pPr>
        <w:pStyle w:val="TableFigureNote"/>
        <w:keepNext/>
        <w:keepLines/>
        <w:spacing w:before="0" w:line="240" w:lineRule="auto"/>
        <w:ind w:left="180" w:hanging="180"/>
        <w:rPr>
          <w:lang w:val="pl-PL"/>
        </w:rPr>
      </w:pPr>
      <w:r w:rsidRPr="00504ECA">
        <w:rPr>
          <w:lang w:val="pl-PL"/>
        </w:rPr>
        <w:t>CI</w:t>
      </w:r>
      <w:r w:rsidR="000850EA">
        <w:rPr>
          <w:lang w:val="pl-PL"/>
        </w:rPr>
        <w:t> </w:t>
      </w:r>
      <w:r w:rsidRPr="00504ECA">
        <w:rPr>
          <w:lang w:val="pl-PL"/>
        </w:rPr>
        <w:t>=</w:t>
      </w:r>
      <w:r w:rsidR="000850EA">
        <w:rPr>
          <w:lang w:val="pl-PL"/>
        </w:rPr>
        <w:t xml:space="preserve"> </w:t>
      </w:r>
      <w:r w:rsidRPr="00504ECA">
        <w:rPr>
          <w:lang w:val="pl-PL"/>
        </w:rPr>
        <w:t>przedział ufności.</w:t>
      </w:r>
    </w:p>
    <w:p w14:paraId="62927AE3" w14:textId="77777777" w:rsidR="009A441C" w:rsidRDefault="009A441C"/>
    <w:p w14:paraId="28813F84" w14:textId="77777777" w:rsidR="00E96702" w:rsidRDefault="0095540B">
      <w:pPr>
        <w:pStyle w:val="HeadingUnderlined"/>
      </w:pPr>
      <w:r>
        <w:t>Immunogenność</w:t>
      </w:r>
    </w:p>
    <w:p w14:paraId="016E77C2" w14:textId="076C89F8" w:rsidR="00E96702" w:rsidRDefault="0095540B">
      <w:r>
        <w:t>B</w:t>
      </w:r>
      <w:bookmarkStart w:id="1" w:name="_Hlk62550555"/>
      <w:r>
        <w:t>adanie osób zakażonych przecinkowcem cholery w warunkach doświadczalnych</w:t>
      </w:r>
      <w:bookmarkEnd w:id="1"/>
      <w:r>
        <w:t xml:space="preserve"> wykazało, że serokonwersja w kierunku bójczym wobec przecinkowca, zdefiniowana jako co najmniej czterokrotny wzrost w surowicy miana przeciwciał bójczych wobec przecinkowca względem wartości wyjściowej w pomiarze wykonanym 10 dni po szczepieniu, wiązała się ze wzrostem poziomu ochrony przed biegunką umiarkowaną do ciężkiej w korelacji niemalże jeden do jednego. Z tego względu serokonwersję wybrano jako wskaźnik do ustalenia równoważności immunogenności między dorosłymi w wieku od 18 do &lt;</w:t>
      </w:r>
      <w:r w:rsidR="000850EA">
        <w:t> </w:t>
      </w:r>
      <w:r>
        <w:t>46 lat uczestniczącymi w badaniu z zakażeniem wywołanym w warunkach doświadczalnych a innymi populacjami, tj. osobami w starszym wieku oraz dziećmi. Immunogenność oceniono w trzech dodatkowych badaniach: badaniu na dużą skalę u 3</w:t>
      </w:r>
      <w:r w:rsidR="00C647F2">
        <w:t> </w:t>
      </w:r>
      <w:r>
        <w:t>146 zdrowych dorosłych w wieku od 18 do &lt;</w:t>
      </w:r>
      <w:r w:rsidR="000850EA">
        <w:t> </w:t>
      </w:r>
      <w:r>
        <w:t>46 lat (średni wiek: 29,9; zakres: 18</w:t>
      </w:r>
      <w:r>
        <w:noBreakHyphen/>
        <w:t>46 lat, 45,2% mężczyzn, 54,8% kobiet)</w:t>
      </w:r>
      <w:r w:rsidR="002F6280">
        <w:t xml:space="preserve"> (badanie 3)</w:t>
      </w:r>
      <w:r>
        <w:t>; badaniu u 398 zdrowych osób w starszym wieku od 46 do &lt;</w:t>
      </w:r>
      <w:r w:rsidR="000850EA">
        <w:t> </w:t>
      </w:r>
      <w:r>
        <w:t>65 lat (średni wiek: 53,8; zakres: 46</w:t>
      </w:r>
      <w:r>
        <w:noBreakHyphen/>
        <w:t xml:space="preserve">64 lat, 45,7% mężczyzn, 54,3% kobiet) </w:t>
      </w:r>
      <w:r w:rsidR="00381852">
        <w:t xml:space="preserve">(badanie 4) </w:t>
      </w:r>
      <w:r>
        <w:t xml:space="preserve">oraz badaniu pediatrycznym z udziałem zdrowych dzieci w wieku </w:t>
      </w:r>
      <w:r w:rsidR="0030405B">
        <w:t>2</w:t>
      </w:r>
      <w:r>
        <w:noBreakHyphen/>
      </w:r>
      <w:r w:rsidR="007C033F" w:rsidRPr="00915112">
        <w:t>&lt;</w:t>
      </w:r>
      <w:r w:rsidR="0030405B">
        <w:t>18 </w:t>
      </w:r>
      <w:r>
        <w:t>lat</w:t>
      </w:r>
      <w:r w:rsidR="00381852">
        <w:t xml:space="preserve"> (badanie 5)</w:t>
      </w:r>
      <w:r>
        <w:t xml:space="preserve">. Zaplanowane z góry analizy </w:t>
      </w:r>
      <w:r>
        <w:lastRenderedPageBreak/>
        <w:t>wakcynologicznego badania pomostowego, bazujące na różnicach we wskaźniku serokonwersji, wykazały przynajmniej tak samo wysoki wskaźnik serokonwersji u starszych dorosłych i dzieci co u dorosłych w wieku od 18 do &lt;</w:t>
      </w:r>
      <w:r w:rsidR="000850EA">
        <w:t> </w:t>
      </w:r>
      <w:r>
        <w:t>46 lat w badaniu immunogenności na dużą skalę.</w:t>
      </w:r>
    </w:p>
    <w:p w14:paraId="05F507ED" w14:textId="77777777" w:rsidR="00E96702" w:rsidRDefault="00E96702"/>
    <w:p w14:paraId="243DB64A" w14:textId="47B842F5" w:rsidR="00E96702" w:rsidRDefault="0095540B">
      <w:r>
        <w:t xml:space="preserve">Wskaźniki serokonwersji </w:t>
      </w:r>
      <w:r w:rsidR="001942FC">
        <w:t>10</w:t>
      </w:r>
      <w:r w:rsidR="000850EA">
        <w:t> </w:t>
      </w:r>
      <w:r w:rsidR="001942FC">
        <w:t xml:space="preserve">dni po szczepieniu </w:t>
      </w:r>
      <w:r>
        <w:t xml:space="preserve">z każdego badania u osób, które zostały zaszczepione i przyjęły placebo, jak również wyniki wakcynologicznego badania pomostowego, zestawiono w tabelach 2 i 4. </w:t>
      </w:r>
      <w:r w:rsidR="00975EB4">
        <w:t>W b</w:t>
      </w:r>
      <w:r w:rsidR="00975EB4" w:rsidRPr="00975EB4">
        <w:t>adani</w:t>
      </w:r>
      <w:r w:rsidR="00975EB4">
        <w:t>u</w:t>
      </w:r>
      <w:r w:rsidR="00975EB4" w:rsidRPr="00975EB4">
        <w:t xml:space="preserve"> z</w:t>
      </w:r>
      <w:r w:rsidR="000850EA">
        <w:t> </w:t>
      </w:r>
      <w:r w:rsidR="00975EB4" w:rsidRPr="00975EB4">
        <w:t>udziałem osób zakażonych w</w:t>
      </w:r>
      <w:r w:rsidR="000850EA">
        <w:t> </w:t>
      </w:r>
      <w:r w:rsidR="00975EB4" w:rsidRPr="00975EB4">
        <w:t>warunkach doświadczalnych</w:t>
      </w:r>
      <w:r w:rsidR="00975EB4">
        <w:t xml:space="preserve"> </w:t>
      </w:r>
      <w:r w:rsidR="005A2CF2">
        <w:t xml:space="preserve">serokonwersja nastąpiła </w:t>
      </w:r>
      <w:r w:rsidR="00975EB4">
        <w:t>do 7</w:t>
      </w:r>
      <w:r w:rsidR="000850EA">
        <w:t> </w:t>
      </w:r>
      <w:r w:rsidR="00975EB4">
        <w:t xml:space="preserve">dni po szczepieniu u 79,8% </w:t>
      </w:r>
      <w:r w:rsidR="005A2CF2">
        <w:t>uczestników.</w:t>
      </w:r>
      <w:r w:rsidR="00975EB4">
        <w:t xml:space="preserve"> </w:t>
      </w:r>
      <w:r>
        <w:t xml:space="preserve">Wskaźniki serokonwersji u starszych </w:t>
      </w:r>
      <w:r w:rsidR="00C647F2">
        <w:t xml:space="preserve">dorosłych </w:t>
      </w:r>
      <w:r>
        <w:t>i dzieci były przynajmniej tak samo wysokie co wskaźniki występujące u młodszych dorosłych.</w:t>
      </w:r>
    </w:p>
    <w:p w14:paraId="6E86F3C7" w14:textId="77777777" w:rsidR="00E96702" w:rsidRDefault="00E96702"/>
    <w:p w14:paraId="4A43115E" w14:textId="02ED98C9" w:rsidR="00E96702" w:rsidRDefault="0095540B">
      <w:r>
        <w:t xml:space="preserve">W trzech badaniach </w:t>
      </w:r>
      <w:r w:rsidR="004D63E9">
        <w:t>u </w:t>
      </w:r>
      <w:r>
        <w:t xml:space="preserve">dorosłych zaobserwowano istotny wzrost odsetka limfocytów B pamięci wytwarzających przeciwciała klasy IgA i IgG przeciwko lipopolisacharydom (ang. </w:t>
      </w:r>
      <w:r>
        <w:rPr>
          <w:i/>
        </w:rPr>
        <w:t>lipopolysaccharide</w:t>
      </w:r>
      <w:r>
        <w:t xml:space="preserve">, LPS) O1 i limfocytów B pamięci wytwarzających przeciwciała klasy IgG przeciwko toksynie cholery w 90 i 180 dniu po szczepieniu. Nie zaobserwowano zależności między wiekiem a odpowiedzią limfocytów B pamięci. Po upływie 90 i 180 dni po szczepieniu wartości średniej geometrycznej miana (ang. </w:t>
      </w:r>
      <w:r>
        <w:rPr>
          <w:i/>
        </w:rPr>
        <w:t>geometric mean titre</w:t>
      </w:r>
      <w:r>
        <w:t>, GMT) przeciwciał bójczych wobec przecinkowca u zaszczepionych uczestników badania były także znacząco wyższe we wszystkich grupach wiekowych niż odpowiednie wartości GMT u osób, które przyjęły placebo. Czas trwania ochrony jest nieznany.</w:t>
      </w:r>
    </w:p>
    <w:p w14:paraId="09FE0CF5" w14:textId="77777777" w:rsidR="00E96702" w:rsidRDefault="00E96702"/>
    <w:p w14:paraId="7243C341" w14:textId="7028F821" w:rsidR="00E96702" w:rsidRDefault="0095540B" w:rsidP="00EC4F10">
      <w:pPr>
        <w:pStyle w:val="TableTitle"/>
        <w:ind w:left="851" w:hanging="851"/>
        <w:outlineLvl w:val="9"/>
      </w:pPr>
      <w:r>
        <w:lastRenderedPageBreak/>
        <w:t xml:space="preserve">Tabela 2: Serokonwersja przeciwciał bójczych skierowanych przeciwko szczepowi </w:t>
      </w:r>
      <w:r>
        <w:rPr>
          <w:rStyle w:val="Emphasis"/>
        </w:rPr>
        <w:t>V</w:t>
      </w:r>
      <w:r w:rsidR="00381852">
        <w:rPr>
          <w:rStyle w:val="Emphasis"/>
        </w:rPr>
        <w:t>ibrio</w:t>
      </w:r>
      <w:r>
        <w:t> </w:t>
      </w:r>
      <w:r>
        <w:rPr>
          <w:rStyle w:val="Emphasis"/>
        </w:rPr>
        <w:t>cholerae</w:t>
      </w:r>
      <w:r>
        <w:t xml:space="preserve"> Inaba, biotyp klasyczny, w szczepionce po upływie 10 dni od szczepienia u dorosłych</w:t>
      </w:r>
    </w:p>
    <w:p w14:paraId="2CA693EB" w14:textId="77777777" w:rsidR="00E96702" w:rsidRDefault="00E96702" w:rsidP="000850EA">
      <w:pPr>
        <w:keepNext/>
      </w:pPr>
    </w:p>
    <w:tbl>
      <w:tblPr>
        <w:tblW w:w="9306" w:type="dxa"/>
        <w:tblBorders>
          <w:top w:val="single" w:sz="12" w:space="0" w:color="auto"/>
          <w:left w:val="single" w:sz="12" w:space="0" w:color="auto"/>
          <w:bottom w:val="single" w:sz="12" w:space="0" w:color="auto"/>
          <w:right w:val="single" w:sz="12" w:space="0" w:color="auto"/>
        </w:tblBorders>
        <w:tblLayout w:type="fixed"/>
        <w:tblCellMar>
          <w:top w:w="85" w:type="dxa"/>
          <w:bottom w:w="85" w:type="dxa"/>
        </w:tblCellMar>
        <w:tblLook w:val="04A0" w:firstRow="1" w:lastRow="0" w:firstColumn="1" w:lastColumn="0" w:noHBand="0" w:noVBand="1"/>
      </w:tblPr>
      <w:tblGrid>
        <w:gridCol w:w="1667"/>
        <w:gridCol w:w="1133"/>
        <w:gridCol w:w="1847"/>
        <w:gridCol w:w="444"/>
        <w:gridCol w:w="1559"/>
        <w:gridCol w:w="2656"/>
      </w:tblGrid>
      <w:tr w:rsidR="00E96702" w:rsidRPr="00075E39" w14:paraId="61C0EAFC" w14:textId="77777777">
        <w:tc>
          <w:tcPr>
            <w:tcW w:w="1668" w:type="dxa"/>
            <w:tcBorders>
              <w:top w:val="single" w:sz="12" w:space="0" w:color="auto"/>
              <w:bottom w:val="nil"/>
            </w:tcBorders>
            <w:vAlign w:val="bottom"/>
          </w:tcPr>
          <w:p w14:paraId="0D85693A" w14:textId="77777777" w:rsidR="00E96702" w:rsidRPr="00504ECA" w:rsidRDefault="0095540B">
            <w:pPr>
              <w:pStyle w:val="Normal10pt0"/>
              <w:keepNext/>
              <w:jc w:val="center"/>
              <w:rPr>
                <w:rStyle w:val="Strong"/>
                <w:sz w:val="22"/>
                <w:szCs w:val="24"/>
              </w:rPr>
            </w:pPr>
            <w:r w:rsidRPr="00A13F2C">
              <w:rPr>
                <w:rStyle w:val="Strong"/>
                <w:sz w:val="22"/>
                <w:szCs w:val="24"/>
              </w:rPr>
              <w:t>Badanie</w:t>
            </w:r>
          </w:p>
        </w:tc>
        <w:tc>
          <w:tcPr>
            <w:tcW w:w="2976" w:type="dxa"/>
            <w:gridSpan w:val="2"/>
            <w:tcBorders>
              <w:top w:val="single" w:sz="12" w:space="0" w:color="auto"/>
              <w:bottom w:val="nil"/>
            </w:tcBorders>
            <w:vAlign w:val="bottom"/>
          </w:tcPr>
          <w:p w14:paraId="52229B27" w14:textId="77777777" w:rsidR="00E96702" w:rsidRPr="00A13F2C" w:rsidRDefault="0095540B">
            <w:pPr>
              <w:pStyle w:val="Normal10pt0"/>
              <w:keepNext/>
              <w:jc w:val="center"/>
              <w:rPr>
                <w:rStyle w:val="Strong"/>
                <w:sz w:val="22"/>
                <w:szCs w:val="24"/>
              </w:rPr>
            </w:pPr>
            <w:r w:rsidRPr="00A13F2C">
              <w:rPr>
                <w:rStyle w:val="Strong"/>
                <w:sz w:val="22"/>
                <w:szCs w:val="24"/>
              </w:rPr>
              <w:t>Osoby, które przyjęły produkt leczniczy Vaxchora</w:t>
            </w:r>
          </w:p>
        </w:tc>
        <w:tc>
          <w:tcPr>
            <w:tcW w:w="2004" w:type="dxa"/>
            <w:gridSpan w:val="2"/>
            <w:tcBorders>
              <w:top w:val="single" w:sz="12" w:space="0" w:color="auto"/>
              <w:bottom w:val="nil"/>
            </w:tcBorders>
            <w:vAlign w:val="bottom"/>
          </w:tcPr>
          <w:p w14:paraId="14A71325" w14:textId="77777777" w:rsidR="00E96702" w:rsidRPr="00A13F2C" w:rsidRDefault="0095540B">
            <w:pPr>
              <w:pStyle w:val="Normal10pt0"/>
              <w:keepNext/>
              <w:jc w:val="center"/>
              <w:rPr>
                <w:rStyle w:val="Strong"/>
                <w:sz w:val="22"/>
                <w:szCs w:val="24"/>
              </w:rPr>
            </w:pPr>
            <w:r w:rsidRPr="00A13F2C">
              <w:rPr>
                <w:rStyle w:val="Strong"/>
                <w:sz w:val="22"/>
                <w:szCs w:val="24"/>
              </w:rPr>
              <w:t>Osoby, które przyjęły placebo</w:t>
            </w:r>
          </w:p>
        </w:tc>
        <w:tc>
          <w:tcPr>
            <w:tcW w:w="2658" w:type="dxa"/>
            <w:tcBorders>
              <w:top w:val="single" w:sz="12" w:space="0" w:color="auto"/>
              <w:bottom w:val="nil"/>
            </w:tcBorders>
            <w:vAlign w:val="bottom"/>
          </w:tcPr>
          <w:p w14:paraId="68961C19" w14:textId="726E840B" w:rsidR="00E96702" w:rsidRPr="00A13F2C" w:rsidRDefault="0095540B">
            <w:pPr>
              <w:pStyle w:val="Normal10pt0"/>
              <w:keepNext/>
              <w:jc w:val="center"/>
              <w:rPr>
                <w:rStyle w:val="Strong"/>
                <w:sz w:val="22"/>
                <w:szCs w:val="24"/>
              </w:rPr>
            </w:pPr>
            <w:r w:rsidRPr="00A13F2C">
              <w:rPr>
                <w:rStyle w:val="Strong"/>
                <w:sz w:val="22"/>
                <w:szCs w:val="24"/>
              </w:rPr>
              <w:t>Wakcynologiczne badanie pomostowe: różnica wskaźnika serokonwersji w porównaniu z dorosłymi w wieku 18</w:t>
            </w:r>
            <w:r w:rsidRPr="00A13F2C">
              <w:rPr>
                <w:rStyle w:val="Strong"/>
                <w:sz w:val="22"/>
                <w:szCs w:val="24"/>
              </w:rPr>
              <w:noBreakHyphen/>
              <w:t>45 lat uczestniczącymi w badaniu</w:t>
            </w:r>
            <w:r w:rsidR="00381852" w:rsidRPr="00A13F2C">
              <w:rPr>
                <w:rStyle w:val="Strong"/>
                <w:sz w:val="22"/>
                <w:szCs w:val="24"/>
              </w:rPr>
              <w:t> 3</w:t>
            </w:r>
          </w:p>
        </w:tc>
      </w:tr>
      <w:tr w:rsidR="00E96702" w:rsidRPr="00075E39" w14:paraId="50167246" w14:textId="77777777">
        <w:tc>
          <w:tcPr>
            <w:tcW w:w="1668" w:type="dxa"/>
            <w:tcBorders>
              <w:top w:val="nil"/>
              <w:bottom w:val="single" w:sz="12" w:space="0" w:color="auto"/>
            </w:tcBorders>
            <w:vAlign w:val="bottom"/>
          </w:tcPr>
          <w:p w14:paraId="4103A1B5" w14:textId="77777777" w:rsidR="00E96702" w:rsidRPr="00A13F2C" w:rsidRDefault="0095540B">
            <w:pPr>
              <w:pStyle w:val="Normal10pt0"/>
              <w:keepNext/>
              <w:jc w:val="center"/>
              <w:rPr>
                <w:sz w:val="22"/>
                <w:szCs w:val="24"/>
              </w:rPr>
            </w:pPr>
            <w:r w:rsidRPr="00A13F2C">
              <w:rPr>
                <w:sz w:val="22"/>
                <w:szCs w:val="24"/>
              </w:rPr>
              <w:t>(wiek w latach)</w:t>
            </w:r>
          </w:p>
        </w:tc>
        <w:tc>
          <w:tcPr>
            <w:tcW w:w="1134" w:type="dxa"/>
            <w:tcBorders>
              <w:top w:val="nil"/>
              <w:bottom w:val="single" w:sz="12" w:space="0" w:color="auto"/>
            </w:tcBorders>
            <w:vAlign w:val="bottom"/>
          </w:tcPr>
          <w:p w14:paraId="435F86A1" w14:textId="77777777" w:rsidR="00E96702" w:rsidRPr="00A13F2C" w:rsidRDefault="0095540B">
            <w:pPr>
              <w:pStyle w:val="Normal10pt0"/>
              <w:keepNext/>
              <w:jc w:val="center"/>
              <w:rPr>
                <w:sz w:val="22"/>
                <w:szCs w:val="24"/>
              </w:rPr>
            </w:pPr>
            <w:r w:rsidRPr="00A13F2C">
              <w:rPr>
                <w:sz w:val="22"/>
                <w:szCs w:val="24"/>
              </w:rPr>
              <w:t>N</w:t>
            </w:r>
            <w:r w:rsidRPr="00A13F2C">
              <w:rPr>
                <w:rStyle w:val="Superscript"/>
                <w:sz w:val="22"/>
                <w:szCs w:val="24"/>
              </w:rPr>
              <w:t>b</w:t>
            </w:r>
          </w:p>
        </w:tc>
        <w:tc>
          <w:tcPr>
            <w:tcW w:w="1842" w:type="dxa"/>
            <w:tcBorders>
              <w:top w:val="nil"/>
              <w:bottom w:val="single" w:sz="12" w:space="0" w:color="auto"/>
            </w:tcBorders>
            <w:vAlign w:val="bottom"/>
          </w:tcPr>
          <w:p w14:paraId="42BC9B37" w14:textId="77777777" w:rsidR="00E96702" w:rsidRPr="00A13F2C" w:rsidRDefault="0095540B">
            <w:pPr>
              <w:pStyle w:val="Normal10pt0"/>
              <w:keepNext/>
              <w:jc w:val="center"/>
              <w:rPr>
                <w:sz w:val="22"/>
                <w:szCs w:val="24"/>
              </w:rPr>
            </w:pPr>
            <w:r w:rsidRPr="00A13F2C">
              <w:rPr>
                <w:sz w:val="22"/>
                <w:szCs w:val="24"/>
              </w:rPr>
              <w:t>Serokonwersja</w:t>
            </w:r>
            <w:r w:rsidRPr="00A13F2C">
              <w:rPr>
                <w:rStyle w:val="Superscript"/>
                <w:sz w:val="22"/>
                <w:szCs w:val="24"/>
              </w:rPr>
              <w:t>a</w:t>
            </w:r>
          </w:p>
          <w:p w14:paraId="589B66D1" w14:textId="77777777" w:rsidR="00E96702" w:rsidRPr="00A13F2C" w:rsidRDefault="0095540B">
            <w:pPr>
              <w:pStyle w:val="Normal10pt0"/>
              <w:keepNext/>
              <w:jc w:val="center"/>
              <w:rPr>
                <w:sz w:val="22"/>
                <w:szCs w:val="24"/>
              </w:rPr>
            </w:pPr>
            <w:r w:rsidRPr="00A13F2C">
              <w:rPr>
                <w:sz w:val="22"/>
                <w:szCs w:val="24"/>
              </w:rPr>
              <w:t>%</w:t>
            </w:r>
          </w:p>
          <w:p w14:paraId="5CC457F6" w14:textId="77777777" w:rsidR="00E96702" w:rsidRPr="00A13F2C" w:rsidRDefault="0095540B">
            <w:pPr>
              <w:pStyle w:val="Normal10pt0"/>
              <w:keepNext/>
              <w:jc w:val="center"/>
              <w:rPr>
                <w:sz w:val="22"/>
                <w:szCs w:val="24"/>
              </w:rPr>
            </w:pPr>
            <w:r w:rsidRPr="00A13F2C">
              <w:rPr>
                <w:sz w:val="22"/>
                <w:szCs w:val="24"/>
              </w:rPr>
              <w:t>[CI 95%]</w:t>
            </w:r>
          </w:p>
        </w:tc>
        <w:tc>
          <w:tcPr>
            <w:tcW w:w="444" w:type="dxa"/>
            <w:tcBorders>
              <w:top w:val="nil"/>
              <w:bottom w:val="single" w:sz="12" w:space="0" w:color="auto"/>
            </w:tcBorders>
            <w:vAlign w:val="bottom"/>
          </w:tcPr>
          <w:p w14:paraId="736F51C1" w14:textId="77777777" w:rsidR="00E96702" w:rsidRPr="00A13F2C" w:rsidRDefault="0095540B">
            <w:pPr>
              <w:pStyle w:val="Normal10pt0"/>
              <w:keepNext/>
              <w:jc w:val="center"/>
              <w:rPr>
                <w:sz w:val="22"/>
                <w:szCs w:val="24"/>
              </w:rPr>
            </w:pPr>
            <w:r w:rsidRPr="00A13F2C">
              <w:rPr>
                <w:sz w:val="22"/>
                <w:szCs w:val="24"/>
              </w:rPr>
              <w:t>N</w:t>
            </w:r>
            <w:r w:rsidRPr="00A13F2C">
              <w:rPr>
                <w:rStyle w:val="Superscript"/>
                <w:sz w:val="22"/>
                <w:szCs w:val="24"/>
              </w:rPr>
              <w:t>b</w:t>
            </w:r>
          </w:p>
        </w:tc>
        <w:tc>
          <w:tcPr>
            <w:tcW w:w="1560" w:type="dxa"/>
            <w:tcBorders>
              <w:top w:val="nil"/>
              <w:bottom w:val="single" w:sz="12" w:space="0" w:color="auto"/>
            </w:tcBorders>
            <w:vAlign w:val="bottom"/>
          </w:tcPr>
          <w:p w14:paraId="10A04DB4" w14:textId="77777777" w:rsidR="00E96702" w:rsidRPr="00A13F2C" w:rsidRDefault="0095540B">
            <w:pPr>
              <w:pStyle w:val="Normal10pt0"/>
              <w:keepNext/>
              <w:jc w:val="center"/>
              <w:rPr>
                <w:sz w:val="22"/>
                <w:szCs w:val="24"/>
              </w:rPr>
            </w:pPr>
            <w:r w:rsidRPr="00A13F2C">
              <w:rPr>
                <w:sz w:val="22"/>
                <w:szCs w:val="24"/>
              </w:rPr>
              <w:t>Serokonwersja</w:t>
            </w:r>
            <w:r w:rsidRPr="00A13F2C">
              <w:rPr>
                <w:rStyle w:val="Superscript"/>
                <w:sz w:val="22"/>
                <w:szCs w:val="24"/>
              </w:rPr>
              <w:t>a</w:t>
            </w:r>
          </w:p>
          <w:p w14:paraId="70D1BE24" w14:textId="77777777" w:rsidR="00E96702" w:rsidRPr="00A13F2C" w:rsidRDefault="0095540B">
            <w:pPr>
              <w:pStyle w:val="Normal10pt0"/>
              <w:keepNext/>
              <w:jc w:val="center"/>
              <w:rPr>
                <w:sz w:val="22"/>
                <w:szCs w:val="24"/>
              </w:rPr>
            </w:pPr>
            <w:r w:rsidRPr="00A13F2C">
              <w:rPr>
                <w:sz w:val="22"/>
                <w:szCs w:val="24"/>
              </w:rPr>
              <w:t>%</w:t>
            </w:r>
          </w:p>
          <w:p w14:paraId="39785D6B" w14:textId="77777777" w:rsidR="00E96702" w:rsidRPr="00A13F2C" w:rsidRDefault="0095540B">
            <w:pPr>
              <w:pStyle w:val="Normal10pt0"/>
              <w:keepNext/>
              <w:jc w:val="center"/>
              <w:rPr>
                <w:sz w:val="22"/>
                <w:szCs w:val="24"/>
              </w:rPr>
            </w:pPr>
            <w:r w:rsidRPr="00A13F2C">
              <w:rPr>
                <w:sz w:val="22"/>
                <w:szCs w:val="24"/>
              </w:rPr>
              <w:t>[CI</w:t>
            </w:r>
            <w:r w:rsidRPr="00A13F2C">
              <w:rPr>
                <w:rStyle w:val="Superscript"/>
                <w:sz w:val="22"/>
                <w:szCs w:val="24"/>
              </w:rPr>
              <w:t>c</w:t>
            </w:r>
            <w:r w:rsidRPr="00A13F2C">
              <w:rPr>
                <w:sz w:val="22"/>
                <w:szCs w:val="24"/>
              </w:rPr>
              <w:t xml:space="preserve"> 95%]</w:t>
            </w:r>
          </w:p>
        </w:tc>
        <w:tc>
          <w:tcPr>
            <w:tcW w:w="2658" w:type="dxa"/>
            <w:tcBorders>
              <w:top w:val="nil"/>
              <w:bottom w:val="single" w:sz="12" w:space="0" w:color="auto"/>
            </w:tcBorders>
            <w:vAlign w:val="bottom"/>
          </w:tcPr>
          <w:p w14:paraId="59A4B2E7" w14:textId="77777777" w:rsidR="00E96702" w:rsidRPr="00A13F2C" w:rsidRDefault="0095540B">
            <w:pPr>
              <w:pStyle w:val="Normal10pt0"/>
              <w:keepNext/>
              <w:jc w:val="center"/>
              <w:rPr>
                <w:sz w:val="22"/>
                <w:szCs w:val="24"/>
              </w:rPr>
            </w:pPr>
            <w:r w:rsidRPr="00A13F2C">
              <w:rPr>
                <w:sz w:val="22"/>
                <w:szCs w:val="24"/>
              </w:rPr>
              <w:t>%</w:t>
            </w:r>
            <w:r w:rsidRPr="00A13F2C">
              <w:rPr>
                <w:rStyle w:val="Superscript"/>
                <w:sz w:val="22"/>
                <w:szCs w:val="24"/>
              </w:rPr>
              <w:t>d</w:t>
            </w:r>
          </w:p>
          <w:p w14:paraId="1E702A60" w14:textId="77777777" w:rsidR="00E96702" w:rsidRPr="00A13F2C" w:rsidRDefault="0095540B">
            <w:pPr>
              <w:pStyle w:val="Normal10pt0"/>
              <w:keepNext/>
              <w:jc w:val="center"/>
              <w:rPr>
                <w:sz w:val="22"/>
                <w:szCs w:val="24"/>
              </w:rPr>
            </w:pPr>
            <w:r w:rsidRPr="00A13F2C">
              <w:rPr>
                <w:sz w:val="22"/>
                <w:szCs w:val="24"/>
              </w:rPr>
              <w:t>[CI</w:t>
            </w:r>
            <w:r w:rsidRPr="00A13F2C">
              <w:rPr>
                <w:rStyle w:val="Superscript"/>
                <w:sz w:val="22"/>
                <w:szCs w:val="24"/>
              </w:rPr>
              <w:t>c</w:t>
            </w:r>
            <w:r w:rsidRPr="00A13F2C">
              <w:rPr>
                <w:sz w:val="22"/>
                <w:szCs w:val="24"/>
              </w:rPr>
              <w:t xml:space="preserve"> 95%]</w:t>
            </w:r>
          </w:p>
        </w:tc>
      </w:tr>
      <w:tr w:rsidR="00E96702" w:rsidRPr="00075E39" w14:paraId="28AAC230" w14:textId="77777777">
        <w:tc>
          <w:tcPr>
            <w:tcW w:w="1668" w:type="dxa"/>
            <w:tcBorders>
              <w:top w:val="single" w:sz="12" w:space="0" w:color="auto"/>
            </w:tcBorders>
          </w:tcPr>
          <w:p w14:paraId="082AD9A0" w14:textId="77777777" w:rsidR="00E96702" w:rsidRPr="00A13F2C" w:rsidRDefault="0095540B">
            <w:pPr>
              <w:pStyle w:val="Normal10pt0"/>
              <w:keepNext/>
              <w:jc w:val="center"/>
              <w:rPr>
                <w:sz w:val="22"/>
                <w:szCs w:val="24"/>
              </w:rPr>
            </w:pPr>
            <w:bookmarkStart w:id="2" w:name="_Hlk62550589"/>
            <w:r w:rsidRPr="00A13F2C">
              <w:rPr>
                <w:sz w:val="22"/>
                <w:szCs w:val="24"/>
              </w:rPr>
              <w:t>Badanie z udziałem osób zakażonych w warunkach doświad</w:t>
            </w:r>
            <w:r w:rsidR="00E60D05" w:rsidRPr="00A13F2C">
              <w:rPr>
                <w:sz w:val="22"/>
                <w:szCs w:val="24"/>
              </w:rPr>
              <w:t>-</w:t>
            </w:r>
            <w:r w:rsidRPr="00A13F2C">
              <w:rPr>
                <w:sz w:val="22"/>
                <w:szCs w:val="24"/>
              </w:rPr>
              <w:t>czalnych</w:t>
            </w:r>
            <w:bookmarkEnd w:id="2"/>
          </w:p>
          <w:p w14:paraId="6EEB7BB4" w14:textId="77777777" w:rsidR="00E96702" w:rsidRPr="00A13F2C" w:rsidRDefault="0095540B">
            <w:pPr>
              <w:pStyle w:val="Normal10pt0"/>
              <w:keepNext/>
              <w:jc w:val="center"/>
              <w:rPr>
                <w:sz w:val="22"/>
                <w:szCs w:val="24"/>
              </w:rPr>
            </w:pPr>
            <w:r w:rsidRPr="00A13F2C">
              <w:rPr>
                <w:sz w:val="22"/>
                <w:szCs w:val="24"/>
              </w:rPr>
              <w:t>(18–45)</w:t>
            </w:r>
          </w:p>
        </w:tc>
        <w:tc>
          <w:tcPr>
            <w:tcW w:w="1134" w:type="dxa"/>
            <w:tcBorders>
              <w:top w:val="single" w:sz="12" w:space="0" w:color="auto"/>
            </w:tcBorders>
          </w:tcPr>
          <w:p w14:paraId="5AF5AB84" w14:textId="77777777" w:rsidR="00E96702" w:rsidRPr="00A13F2C" w:rsidRDefault="0095540B">
            <w:pPr>
              <w:pStyle w:val="Normal10pt0"/>
              <w:keepNext/>
              <w:jc w:val="center"/>
              <w:rPr>
                <w:sz w:val="22"/>
                <w:szCs w:val="24"/>
              </w:rPr>
            </w:pPr>
            <w:r w:rsidRPr="00A13F2C">
              <w:rPr>
                <w:sz w:val="22"/>
                <w:szCs w:val="24"/>
              </w:rPr>
              <w:t>93</w:t>
            </w:r>
          </w:p>
        </w:tc>
        <w:tc>
          <w:tcPr>
            <w:tcW w:w="1848" w:type="dxa"/>
            <w:tcBorders>
              <w:top w:val="single" w:sz="12" w:space="0" w:color="auto"/>
            </w:tcBorders>
          </w:tcPr>
          <w:p w14:paraId="1DC1BC00" w14:textId="77777777" w:rsidR="00E96702" w:rsidRPr="00A13F2C" w:rsidRDefault="0095540B">
            <w:pPr>
              <w:pStyle w:val="Normal10pt0"/>
              <w:keepNext/>
              <w:jc w:val="center"/>
              <w:rPr>
                <w:sz w:val="22"/>
                <w:szCs w:val="24"/>
              </w:rPr>
            </w:pPr>
            <w:r w:rsidRPr="00A13F2C">
              <w:rPr>
                <w:sz w:val="22"/>
                <w:szCs w:val="24"/>
              </w:rPr>
              <w:t>90,3%</w:t>
            </w:r>
          </w:p>
          <w:p w14:paraId="2C5605B2" w14:textId="77777777" w:rsidR="00E96702" w:rsidRPr="00A13F2C" w:rsidRDefault="0095540B">
            <w:pPr>
              <w:pStyle w:val="Normal10pt0"/>
              <w:keepNext/>
              <w:jc w:val="center"/>
              <w:rPr>
                <w:sz w:val="22"/>
                <w:szCs w:val="24"/>
              </w:rPr>
            </w:pPr>
            <w:r w:rsidRPr="00A13F2C">
              <w:rPr>
                <w:sz w:val="22"/>
                <w:szCs w:val="24"/>
              </w:rPr>
              <w:t>[82,4%; 95,5%]</w:t>
            </w:r>
          </w:p>
        </w:tc>
        <w:tc>
          <w:tcPr>
            <w:tcW w:w="438" w:type="dxa"/>
            <w:tcBorders>
              <w:top w:val="single" w:sz="12" w:space="0" w:color="auto"/>
            </w:tcBorders>
          </w:tcPr>
          <w:p w14:paraId="7B255241" w14:textId="77777777" w:rsidR="00E96702" w:rsidRPr="00A13F2C" w:rsidRDefault="0095540B">
            <w:pPr>
              <w:pStyle w:val="Normal10pt0"/>
              <w:keepNext/>
              <w:jc w:val="center"/>
              <w:rPr>
                <w:sz w:val="22"/>
                <w:szCs w:val="24"/>
              </w:rPr>
            </w:pPr>
            <w:r w:rsidRPr="00A13F2C">
              <w:rPr>
                <w:sz w:val="22"/>
                <w:szCs w:val="24"/>
              </w:rPr>
              <w:t>102</w:t>
            </w:r>
          </w:p>
        </w:tc>
        <w:tc>
          <w:tcPr>
            <w:tcW w:w="1560" w:type="dxa"/>
            <w:tcBorders>
              <w:top w:val="single" w:sz="12" w:space="0" w:color="auto"/>
            </w:tcBorders>
          </w:tcPr>
          <w:p w14:paraId="61D18A96" w14:textId="77777777" w:rsidR="00E96702" w:rsidRPr="00A13F2C" w:rsidRDefault="0095540B">
            <w:pPr>
              <w:pStyle w:val="Normal10pt0"/>
              <w:keepNext/>
              <w:jc w:val="center"/>
              <w:rPr>
                <w:sz w:val="22"/>
                <w:szCs w:val="24"/>
              </w:rPr>
            </w:pPr>
            <w:r w:rsidRPr="00A13F2C">
              <w:rPr>
                <w:sz w:val="22"/>
                <w:szCs w:val="24"/>
              </w:rPr>
              <w:t>2,0%</w:t>
            </w:r>
          </w:p>
          <w:p w14:paraId="3EBE89D0" w14:textId="77777777" w:rsidR="00E96702" w:rsidRPr="00A13F2C" w:rsidRDefault="0095540B">
            <w:pPr>
              <w:pStyle w:val="Normal10pt0"/>
              <w:keepNext/>
              <w:jc w:val="center"/>
              <w:rPr>
                <w:sz w:val="22"/>
                <w:szCs w:val="24"/>
              </w:rPr>
            </w:pPr>
            <w:r w:rsidRPr="00A13F2C">
              <w:rPr>
                <w:sz w:val="22"/>
                <w:szCs w:val="24"/>
              </w:rPr>
              <w:t>[0,2%; 6,9%]</w:t>
            </w:r>
          </w:p>
        </w:tc>
        <w:tc>
          <w:tcPr>
            <w:tcW w:w="2658" w:type="dxa"/>
            <w:tcBorders>
              <w:top w:val="single" w:sz="12" w:space="0" w:color="auto"/>
            </w:tcBorders>
          </w:tcPr>
          <w:p w14:paraId="2EB9CAED" w14:textId="77777777" w:rsidR="00E96702" w:rsidRPr="00A13F2C" w:rsidRDefault="0095540B">
            <w:pPr>
              <w:pStyle w:val="Normal10pt0"/>
              <w:keepNext/>
              <w:jc w:val="center"/>
              <w:rPr>
                <w:sz w:val="22"/>
                <w:szCs w:val="24"/>
              </w:rPr>
            </w:pPr>
            <w:r w:rsidRPr="00A13F2C">
              <w:rPr>
                <w:sz w:val="22"/>
                <w:szCs w:val="24"/>
              </w:rPr>
              <w:t>-</w:t>
            </w:r>
          </w:p>
        </w:tc>
      </w:tr>
      <w:tr w:rsidR="00E96702" w:rsidRPr="00075E39" w14:paraId="3D614275" w14:textId="77777777">
        <w:tc>
          <w:tcPr>
            <w:tcW w:w="1668" w:type="dxa"/>
          </w:tcPr>
          <w:p w14:paraId="39E867FB" w14:textId="51BBCA77" w:rsidR="00E96702" w:rsidRPr="00A13F2C" w:rsidRDefault="00381852">
            <w:pPr>
              <w:pStyle w:val="Normal10pt0"/>
              <w:keepNext/>
              <w:jc w:val="center"/>
              <w:rPr>
                <w:sz w:val="22"/>
                <w:szCs w:val="24"/>
              </w:rPr>
            </w:pPr>
            <w:r w:rsidRPr="00A13F2C">
              <w:rPr>
                <w:sz w:val="22"/>
                <w:szCs w:val="24"/>
              </w:rPr>
              <w:t>Badanie 3</w:t>
            </w:r>
          </w:p>
          <w:p w14:paraId="23E9D909" w14:textId="77777777" w:rsidR="00E96702" w:rsidRPr="00A13F2C" w:rsidRDefault="0095540B">
            <w:pPr>
              <w:pStyle w:val="Normal10pt0"/>
              <w:keepNext/>
              <w:jc w:val="center"/>
              <w:rPr>
                <w:sz w:val="22"/>
                <w:szCs w:val="24"/>
              </w:rPr>
            </w:pPr>
            <w:r w:rsidRPr="00A13F2C">
              <w:rPr>
                <w:sz w:val="22"/>
                <w:szCs w:val="24"/>
              </w:rPr>
              <w:t>(18–45)</w:t>
            </w:r>
          </w:p>
        </w:tc>
        <w:tc>
          <w:tcPr>
            <w:tcW w:w="1134" w:type="dxa"/>
          </w:tcPr>
          <w:p w14:paraId="5D37E15F" w14:textId="77777777" w:rsidR="00E96702" w:rsidRPr="00A13F2C" w:rsidRDefault="0095540B">
            <w:pPr>
              <w:pStyle w:val="Normal10pt0"/>
              <w:keepNext/>
              <w:jc w:val="center"/>
              <w:rPr>
                <w:sz w:val="22"/>
                <w:szCs w:val="24"/>
              </w:rPr>
            </w:pPr>
            <w:r w:rsidRPr="00A13F2C">
              <w:rPr>
                <w:sz w:val="22"/>
                <w:szCs w:val="24"/>
              </w:rPr>
              <w:t>2687</w:t>
            </w:r>
          </w:p>
        </w:tc>
        <w:tc>
          <w:tcPr>
            <w:tcW w:w="1848" w:type="dxa"/>
          </w:tcPr>
          <w:p w14:paraId="43CDCEB5" w14:textId="77777777" w:rsidR="00E96702" w:rsidRPr="00A13F2C" w:rsidRDefault="0095540B">
            <w:pPr>
              <w:pStyle w:val="Normal10pt0"/>
              <w:keepNext/>
              <w:jc w:val="center"/>
              <w:rPr>
                <w:sz w:val="22"/>
                <w:szCs w:val="24"/>
              </w:rPr>
            </w:pPr>
            <w:r w:rsidRPr="00A13F2C">
              <w:rPr>
                <w:sz w:val="22"/>
                <w:szCs w:val="24"/>
              </w:rPr>
              <w:t>93,5%</w:t>
            </w:r>
          </w:p>
          <w:p w14:paraId="497FBD63" w14:textId="77777777" w:rsidR="00E96702" w:rsidRPr="00A13F2C" w:rsidRDefault="0095540B">
            <w:pPr>
              <w:pStyle w:val="Normal10pt0"/>
              <w:keepNext/>
              <w:jc w:val="center"/>
              <w:rPr>
                <w:sz w:val="22"/>
                <w:szCs w:val="24"/>
              </w:rPr>
            </w:pPr>
            <w:r w:rsidRPr="00A13F2C">
              <w:rPr>
                <w:sz w:val="22"/>
                <w:szCs w:val="24"/>
              </w:rPr>
              <w:t>[92,5%; 94,4%]</w:t>
            </w:r>
          </w:p>
        </w:tc>
        <w:tc>
          <w:tcPr>
            <w:tcW w:w="438" w:type="dxa"/>
          </w:tcPr>
          <w:p w14:paraId="44914B51" w14:textId="77777777" w:rsidR="00E96702" w:rsidRPr="00A13F2C" w:rsidRDefault="0095540B">
            <w:pPr>
              <w:pStyle w:val="Normal10pt0"/>
              <w:keepNext/>
              <w:jc w:val="center"/>
              <w:rPr>
                <w:sz w:val="22"/>
                <w:szCs w:val="24"/>
              </w:rPr>
            </w:pPr>
            <w:r w:rsidRPr="00A13F2C">
              <w:rPr>
                <w:sz w:val="22"/>
                <w:szCs w:val="24"/>
              </w:rPr>
              <w:t>334</w:t>
            </w:r>
          </w:p>
        </w:tc>
        <w:tc>
          <w:tcPr>
            <w:tcW w:w="1560" w:type="dxa"/>
          </w:tcPr>
          <w:p w14:paraId="15033FCA" w14:textId="77777777" w:rsidR="00E96702" w:rsidRPr="00A13F2C" w:rsidRDefault="0095540B">
            <w:pPr>
              <w:pStyle w:val="Normal10pt0"/>
              <w:keepNext/>
              <w:jc w:val="center"/>
              <w:rPr>
                <w:sz w:val="22"/>
                <w:szCs w:val="24"/>
              </w:rPr>
            </w:pPr>
            <w:r w:rsidRPr="00A13F2C">
              <w:rPr>
                <w:sz w:val="22"/>
                <w:szCs w:val="24"/>
              </w:rPr>
              <w:t>4,2%</w:t>
            </w:r>
          </w:p>
          <w:p w14:paraId="38B2E84C" w14:textId="77777777" w:rsidR="00E96702" w:rsidRPr="00A13F2C" w:rsidRDefault="0095540B">
            <w:pPr>
              <w:pStyle w:val="Normal10pt0"/>
              <w:keepNext/>
              <w:jc w:val="center"/>
              <w:rPr>
                <w:sz w:val="22"/>
                <w:szCs w:val="24"/>
              </w:rPr>
            </w:pPr>
            <w:r w:rsidRPr="00A13F2C">
              <w:rPr>
                <w:sz w:val="22"/>
                <w:szCs w:val="24"/>
              </w:rPr>
              <w:t>[2,3%; 6,9%]</w:t>
            </w:r>
          </w:p>
        </w:tc>
        <w:tc>
          <w:tcPr>
            <w:tcW w:w="2658" w:type="dxa"/>
          </w:tcPr>
          <w:p w14:paraId="42868320" w14:textId="77777777" w:rsidR="00E96702" w:rsidRPr="00A13F2C" w:rsidRDefault="0095540B">
            <w:pPr>
              <w:pStyle w:val="Normal10pt0"/>
              <w:keepNext/>
              <w:jc w:val="center"/>
              <w:rPr>
                <w:sz w:val="22"/>
                <w:szCs w:val="24"/>
              </w:rPr>
            </w:pPr>
            <w:r w:rsidRPr="00A13F2C">
              <w:rPr>
                <w:sz w:val="22"/>
                <w:szCs w:val="24"/>
              </w:rPr>
              <w:t>-</w:t>
            </w:r>
          </w:p>
        </w:tc>
      </w:tr>
      <w:tr w:rsidR="00E96702" w:rsidRPr="00075E39" w14:paraId="774E1F15" w14:textId="77777777">
        <w:tc>
          <w:tcPr>
            <w:tcW w:w="1668" w:type="dxa"/>
          </w:tcPr>
          <w:p w14:paraId="573F688E" w14:textId="2C532A66" w:rsidR="00E96702" w:rsidRPr="00A13F2C" w:rsidRDefault="00381852">
            <w:pPr>
              <w:pStyle w:val="Normal10pt0"/>
              <w:keepNext/>
              <w:jc w:val="center"/>
              <w:rPr>
                <w:sz w:val="22"/>
                <w:szCs w:val="24"/>
              </w:rPr>
            </w:pPr>
            <w:r w:rsidRPr="00A13F2C">
              <w:rPr>
                <w:sz w:val="22"/>
                <w:szCs w:val="24"/>
              </w:rPr>
              <w:t>Badanie 4</w:t>
            </w:r>
          </w:p>
          <w:p w14:paraId="369AF890" w14:textId="77777777" w:rsidR="00E96702" w:rsidRPr="00A13F2C" w:rsidRDefault="0095540B">
            <w:pPr>
              <w:pStyle w:val="Normal10pt0"/>
              <w:keepNext/>
              <w:jc w:val="center"/>
              <w:rPr>
                <w:sz w:val="22"/>
                <w:szCs w:val="24"/>
              </w:rPr>
            </w:pPr>
            <w:r w:rsidRPr="00A13F2C">
              <w:rPr>
                <w:sz w:val="22"/>
                <w:szCs w:val="24"/>
              </w:rPr>
              <w:t>(46–64)</w:t>
            </w:r>
          </w:p>
        </w:tc>
        <w:tc>
          <w:tcPr>
            <w:tcW w:w="1134" w:type="dxa"/>
          </w:tcPr>
          <w:p w14:paraId="723E7225" w14:textId="77777777" w:rsidR="00E96702" w:rsidRPr="00A13F2C" w:rsidRDefault="0095540B">
            <w:pPr>
              <w:pStyle w:val="Normal10pt0"/>
              <w:keepNext/>
              <w:jc w:val="center"/>
              <w:rPr>
                <w:sz w:val="22"/>
                <w:szCs w:val="24"/>
              </w:rPr>
            </w:pPr>
            <w:r w:rsidRPr="00A13F2C">
              <w:rPr>
                <w:sz w:val="22"/>
                <w:szCs w:val="24"/>
              </w:rPr>
              <w:t>291</w:t>
            </w:r>
          </w:p>
        </w:tc>
        <w:tc>
          <w:tcPr>
            <w:tcW w:w="1848" w:type="dxa"/>
          </w:tcPr>
          <w:p w14:paraId="60ADDA5E" w14:textId="77777777" w:rsidR="00E96702" w:rsidRPr="00A13F2C" w:rsidRDefault="0095540B">
            <w:pPr>
              <w:pStyle w:val="Normal10pt0"/>
              <w:keepNext/>
              <w:jc w:val="center"/>
              <w:rPr>
                <w:sz w:val="22"/>
                <w:szCs w:val="24"/>
              </w:rPr>
            </w:pPr>
            <w:r w:rsidRPr="00A13F2C">
              <w:rPr>
                <w:sz w:val="22"/>
                <w:szCs w:val="24"/>
              </w:rPr>
              <w:t>90,4%</w:t>
            </w:r>
          </w:p>
          <w:p w14:paraId="089F3BC4" w14:textId="77777777" w:rsidR="00E96702" w:rsidRPr="00A13F2C" w:rsidRDefault="0095540B">
            <w:pPr>
              <w:pStyle w:val="Normal10pt0"/>
              <w:keepNext/>
              <w:jc w:val="center"/>
              <w:rPr>
                <w:sz w:val="22"/>
                <w:szCs w:val="24"/>
              </w:rPr>
            </w:pPr>
            <w:r w:rsidRPr="00A13F2C">
              <w:rPr>
                <w:sz w:val="22"/>
                <w:szCs w:val="24"/>
              </w:rPr>
              <w:t>[86,4%; 93,5%]</w:t>
            </w:r>
          </w:p>
        </w:tc>
        <w:tc>
          <w:tcPr>
            <w:tcW w:w="438" w:type="dxa"/>
          </w:tcPr>
          <w:p w14:paraId="5FC48C18" w14:textId="77777777" w:rsidR="00E96702" w:rsidRPr="00A13F2C" w:rsidRDefault="0095540B">
            <w:pPr>
              <w:pStyle w:val="Normal10pt0"/>
              <w:keepNext/>
              <w:jc w:val="center"/>
              <w:rPr>
                <w:sz w:val="22"/>
                <w:szCs w:val="24"/>
              </w:rPr>
            </w:pPr>
            <w:r w:rsidRPr="00A13F2C">
              <w:rPr>
                <w:sz w:val="22"/>
                <w:szCs w:val="24"/>
              </w:rPr>
              <w:t>99</w:t>
            </w:r>
          </w:p>
        </w:tc>
        <w:tc>
          <w:tcPr>
            <w:tcW w:w="1560" w:type="dxa"/>
          </w:tcPr>
          <w:p w14:paraId="123F4FE9" w14:textId="77777777" w:rsidR="00E96702" w:rsidRPr="00A13F2C" w:rsidRDefault="0095540B">
            <w:pPr>
              <w:pStyle w:val="Normal10pt0"/>
              <w:keepNext/>
              <w:jc w:val="center"/>
              <w:rPr>
                <w:sz w:val="22"/>
                <w:szCs w:val="24"/>
              </w:rPr>
            </w:pPr>
            <w:r w:rsidRPr="00A13F2C">
              <w:rPr>
                <w:sz w:val="22"/>
                <w:szCs w:val="24"/>
              </w:rPr>
              <w:t>0%</w:t>
            </w:r>
          </w:p>
          <w:p w14:paraId="21E9534C" w14:textId="77777777" w:rsidR="00E96702" w:rsidRPr="00A13F2C" w:rsidRDefault="0095540B">
            <w:pPr>
              <w:pStyle w:val="Normal10pt0"/>
              <w:keepNext/>
              <w:jc w:val="center"/>
              <w:rPr>
                <w:sz w:val="22"/>
                <w:szCs w:val="24"/>
              </w:rPr>
            </w:pPr>
            <w:r w:rsidRPr="00A13F2C">
              <w:rPr>
                <w:sz w:val="22"/>
                <w:szCs w:val="24"/>
              </w:rPr>
              <w:t>[0,0%; 3,7%]</w:t>
            </w:r>
          </w:p>
        </w:tc>
        <w:tc>
          <w:tcPr>
            <w:tcW w:w="2658" w:type="dxa"/>
          </w:tcPr>
          <w:p w14:paraId="0F2D4030" w14:textId="77777777" w:rsidR="00E96702" w:rsidRPr="00A13F2C" w:rsidRDefault="0095540B">
            <w:pPr>
              <w:pStyle w:val="Normal10pt0"/>
              <w:keepNext/>
              <w:jc w:val="center"/>
              <w:rPr>
                <w:sz w:val="22"/>
                <w:szCs w:val="24"/>
              </w:rPr>
            </w:pPr>
            <w:r w:rsidRPr="00A13F2C">
              <w:rPr>
                <w:sz w:val="22"/>
                <w:szCs w:val="24"/>
              </w:rPr>
              <w:t>-3,1%</w:t>
            </w:r>
          </w:p>
          <w:p w14:paraId="5604200B" w14:textId="77777777" w:rsidR="00E96702" w:rsidRPr="00A13F2C" w:rsidRDefault="0095540B">
            <w:pPr>
              <w:pStyle w:val="Normal10pt0"/>
              <w:keepNext/>
              <w:jc w:val="center"/>
              <w:rPr>
                <w:sz w:val="22"/>
                <w:szCs w:val="24"/>
              </w:rPr>
            </w:pPr>
            <w:r w:rsidRPr="00A13F2C">
              <w:rPr>
                <w:sz w:val="22"/>
                <w:szCs w:val="24"/>
              </w:rPr>
              <w:t>[</w:t>
            </w:r>
            <w:r w:rsidRPr="00A13F2C">
              <w:rPr>
                <w:sz w:val="22"/>
                <w:szCs w:val="24"/>
              </w:rPr>
              <w:noBreakHyphen/>
              <w:t>6,7%; 0,4%]</w:t>
            </w:r>
          </w:p>
        </w:tc>
      </w:tr>
    </w:tbl>
    <w:p w14:paraId="0B0B67B6" w14:textId="77777777" w:rsidR="00E96702" w:rsidRDefault="006C1BBB">
      <w:pPr>
        <w:pStyle w:val="Normal10pt0"/>
        <w:keepNext/>
      </w:pPr>
      <w:r w:rsidRPr="00A95CD4">
        <w:rPr>
          <w:vertAlign w:val="superscript"/>
        </w:rPr>
        <w:t>a</w:t>
      </w:r>
      <w:r w:rsidRPr="00A95CD4">
        <w:tab/>
      </w:r>
      <w:r w:rsidR="0095540B">
        <w:t>Serokonwersję zdefiniowano jako odsetek uczestników badania, u których wystąpił co najmniej 4</w:t>
      </w:r>
      <w:r w:rsidR="0095540B">
        <w:noBreakHyphen/>
        <w:t>krotny wzrost miana przeciwciał bójczych wobec przecinkowca po upływie 10 dni od szczepienia względem wartości wyjściowej.</w:t>
      </w:r>
    </w:p>
    <w:p w14:paraId="4F9666FD" w14:textId="77777777" w:rsidR="00E96702" w:rsidRDefault="006C1BBB">
      <w:pPr>
        <w:pStyle w:val="Normal10pt0"/>
        <w:keepNext/>
      </w:pPr>
      <w:r w:rsidRPr="00A44F20">
        <w:rPr>
          <w:vertAlign w:val="superscript"/>
        </w:rPr>
        <w:t>b</w:t>
      </w:r>
      <w:r w:rsidRPr="00A44F20">
        <w:tab/>
      </w:r>
      <w:r w:rsidR="0095540B">
        <w:t>N = liczba uczestników badania, od których pobrano nadające się do analizy próbki w 1. i 11. dniu badania.</w:t>
      </w:r>
    </w:p>
    <w:p w14:paraId="57F9E8C0" w14:textId="77777777" w:rsidR="00E96702" w:rsidRDefault="006C1BBB">
      <w:pPr>
        <w:pStyle w:val="Normal10pt0"/>
        <w:keepNext/>
      </w:pPr>
      <w:r w:rsidRPr="00A95CD4">
        <w:rPr>
          <w:vertAlign w:val="superscript"/>
        </w:rPr>
        <w:t>c</w:t>
      </w:r>
      <w:r w:rsidRPr="00A95CD4">
        <w:tab/>
      </w:r>
      <w:r w:rsidR="0095540B">
        <w:t>CI = przedział ufności.</w:t>
      </w:r>
    </w:p>
    <w:p w14:paraId="2962FCB8" w14:textId="0D8E4581" w:rsidR="00E96702" w:rsidRDefault="006C1BBB">
      <w:pPr>
        <w:pStyle w:val="Normal10pt0"/>
      </w:pPr>
      <w:r w:rsidRPr="00A95CD4">
        <w:rPr>
          <w:vertAlign w:val="superscript"/>
        </w:rPr>
        <w:t>d</w:t>
      </w:r>
      <w:r w:rsidRPr="00A95CD4">
        <w:rPr>
          <w:vertAlign w:val="superscript"/>
        </w:rPr>
        <w:tab/>
      </w:r>
      <w:r w:rsidR="0095540B">
        <w:t>Kryteria równoważności: dolna granica dwustronnego 95% przedziału ufności dla różnicy wskaźników serokonwersji w porównaniu z dorosłymi w wieku od 18 do &lt;</w:t>
      </w:r>
      <w:r w:rsidR="000850EA">
        <w:t> </w:t>
      </w:r>
      <w:r w:rsidR="0095540B">
        <w:t>46 lat musiała być większa niż –10 punktów procentowych, a dolna granica dwustronnego 95% przedziału ufności dla odsetka osób szczepionych, u których nastąpiła serokonwersja po 10 dniach po szczepieniu, musiała wynosić co najmniej 70%.</w:t>
      </w:r>
    </w:p>
    <w:p w14:paraId="5585F90E" w14:textId="77777777" w:rsidR="00E96702" w:rsidRDefault="00E96702"/>
    <w:p w14:paraId="0FB0829A" w14:textId="260D0D0D" w:rsidR="00E96702" w:rsidRDefault="0095540B">
      <w:r>
        <w:t xml:space="preserve">Dostępne dane dotyczące wskaźników serokonwersji względem innych serotypów i biotypów bakterii </w:t>
      </w:r>
      <w:r>
        <w:rPr>
          <w:rStyle w:val="Emphasis"/>
        </w:rPr>
        <w:t>V</w:t>
      </w:r>
      <w:r w:rsidR="00381852">
        <w:rPr>
          <w:rStyle w:val="Emphasis"/>
        </w:rPr>
        <w:t>ibrio</w:t>
      </w:r>
      <w:r>
        <w:t> </w:t>
      </w:r>
      <w:r>
        <w:rPr>
          <w:rStyle w:val="Emphasis"/>
        </w:rPr>
        <w:t>cholerae</w:t>
      </w:r>
      <w:r>
        <w:t xml:space="preserve"> przedstawiono w tabeli 3. Wskaźniki serokonwersji dla tych serotypów i biotypów nie zostały określone u dzieci.</w:t>
      </w:r>
    </w:p>
    <w:p w14:paraId="018F12BC" w14:textId="77777777" w:rsidR="00E96702" w:rsidRDefault="00E96702"/>
    <w:p w14:paraId="68CE6008" w14:textId="5DBA857C" w:rsidR="00E96702" w:rsidRDefault="0095540B" w:rsidP="00EC4F10">
      <w:pPr>
        <w:pStyle w:val="TableTitle"/>
        <w:ind w:left="851" w:hanging="851"/>
        <w:outlineLvl w:val="9"/>
      </w:pPr>
      <w:r>
        <w:lastRenderedPageBreak/>
        <w:t xml:space="preserve">Tabela 3: Wskaźniki serokonwersji 10 dni po szczepieniu dla czterech głównych serotypów i biotypów bakterii </w:t>
      </w:r>
      <w:r>
        <w:rPr>
          <w:rStyle w:val="Emphasis"/>
        </w:rPr>
        <w:t>V</w:t>
      </w:r>
      <w:r w:rsidR="00381852">
        <w:rPr>
          <w:rStyle w:val="Emphasis"/>
        </w:rPr>
        <w:t>ibrio</w:t>
      </w:r>
      <w:r>
        <w:rPr>
          <w:rStyle w:val="Emphasis"/>
        </w:rPr>
        <w:t> cholerae</w:t>
      </w:r>
      <w:r>
        <w:t>, serogrupa O1 [</w:t>
      </w:r>
      <w:bookmarkStart w:id="3" w:name="_Hlk62552739"/>
      <w:r>
        <w:t>populacja możliwa do oceny pod względem immunogenności</w:t>
      </w:r>
      <w:bookmarkEnd w:id="3"/>
      <w:r>
        <w:t>]</w:t>
      </w:r>
    </w:p>
    <w:p w14:paraId="5046F36A" w14:textId="77777777" w:rsidR="00E96702" w:rsidRDefault="00E96702">
      <w:pPr>
        <w:keepNext/>
      </w:pPr>
    </w:p>
    <w:tbl>
      <w:tblPr>
        <w:tblW w:w="0" w:type="auto"/>
        <w:tblBorders>
          <w:top w:val="single" w:sz="12" w:space="0" w:color="auto"/>
          <w:left w:val="single" w:sz="12" w:space="0" w:color="auto"/>
          <w:bottom w:val="single" w:sz="12" w:space="0" w:color="auto"/>
          <w:right w:val="single" w:sz="12" w:space="0" w:color="auto"/>
        </w:tblBorders>
        <w:tblCellMar>
          <w:top w:w="85" w:type="dxa"/>
          <w:bottom w:w="85" w:type="dxa"/>
        </w:tblCellMar>
        <w:tblLook w:val="04A0" w:firstRow="1" w:lastRow="0" w:firstColumn="1" w:lastColumn="0" w:noHBand="0" w:noVBand="1"/>
      </w:tblPr>
      <w:tblGrid>
        <w:gridCol w:w="1848"/>
        <w:gridCol w:w="1785"/>
        <w:gridCol w:w="1816"/>
        <w:gridCol w:w="1792"/>
        <w:gridCol w:w="1816"/>
      </w:tblGrid>
      <w:tr w:rsidR="00E96702" w:rsidRPr="003A5089" w14:paraId="17060CBB" w14:textId="77777777">
        <w:tc>
          <w:tcPr>
            <w:tcW w:w="1860" w:type="dxa"/>
            <w:vMerge w:val="restart"/>
            <w:tcBorders>
              <w:top w:val="single" w:sz="12" w:space="0" w:color="auto"/>
              <w:bottom w:val="nil"/>
            </w:tcBorders>
            <w:vAlign w:val="bottom"/>
          </w:tcPr>
          <w:p w14:paraId="4CF50D03" w14:textId="77777777" w:rsidR="00E96702" w:rsidRPr="00504ECA" w:rsidRDefault="0095540B">
            <w:pPr>
              <w:pStyle w:val="Normal10pt0"/>
              <w:keepNext/>
              <w:rPr>
                <w:rStyle w:val="Strong"/>
                <w:sz w:val="22"/>
                <w:szCs w:val="24"/>
              </w:rPr>
            </w:pPr>
            <w:r w:rsidRPr="00A13F2C">
              <w:rPr>
                <w:rStyle w:val="Strong"/>
                <w:sz w:val="22"/>
                <w:szCs w:val="24"/>
              </w:rPr>
              <w:t>Szczep przecinkowca cholery</w:t>
            </w:r>
          </w:p>
        </w:tc>
        <w:tc>
          <w:tcPr>
            <w:tcW w:w="3721" w:type="dxa"/>
            <w:gridSpan w:val="2"/>
            <w:tcBorders>
              <w:top w:val="single" w:sz="12" w:space="0" w:color="auto"/>
              <w:bottom w:val="nil"/>
            </w:tcBorders>
          </w:tcPr>
          <w:p w14:paraId="70010E51" w14:textId="2A0C510C" w:rsidR="00E96702" w:rsidRPr="00A13F2C" w:rsidRDefault="0095540B">
            <w:pPr>
              <w:pStyle w:val="Normal10pt0"/>
              <w:keepNext/>
              <w:jc w:val="center"/>
              <w:rPr>
                <w:rStyle w:val="Strong"/>
                <w:sz w:val="22"/>
                <w:szCs w:val="24"/>
              </w:rPr>
            </w:pPr>
            <w:r w:rsidRPr="00A13F2C">
              <w:rPr>
                <w:rStyle w:val="Strong"/>
                <w:sz w:val="22"/>
                <w:szCs w:val="24"/>
              </w:rPr>
              <w:t>Młods</w:t>
            </w:r>
            <w:r w:rsidR="00D74EB6">
              <w:rPr>
                <w:rStyle w:val="Strong"/>
                <w:sz w:val="22"/>
                <w:szCs w:val="24"/>
              </w:rPr>
              <w:t xml:space="preserve">i </w:t>
            </w:r>
            <w:r w:rsidRPr="00A13F2C">
              <w:rPr>
                <w:rStyle w:val="Strong"/>
                <w:sz w:val="22"/>
                <w:szCs w:val="24"/>
              </w:rPr>
              <w:t>doro</w:t>
            </w:r>
            <w:r w:rsidR="00D74EB6">
              <w:rPr>
                <w:rStyle w:val="Strong"/>
                <w:sz w:val="22"/>
                <w:szCs w:val="24"/>
              </w:rPr>
              <w:t>śli</w:t>
            </w:r>
          </w:p>
          <w:p w14:paraId="738F3EA5" w14:textId="77777777" w:rsidR="00E96702" w:rsidRPr="00A13F2C" w:rsidRDefault="0095540B">
            <w:pPr>
              <w:pStyle w:val="Normal10pt0"/>
              <w:keepNext/>
              <w:jc w:val="center"/>
              <w:rPr>
                <w:rStyle w:val="Strong"/>
                <w:sz w:val="22"/>
                <w:szCs w:val="24"/>
              </w:rPr>
            </w:pPr>
            <w:r w:rsidRPr="00A13F2C">
              <w:rPr>
                <w:rStyle w:val="Strong"/>
                <w:sz w:val="22"/>
                <w:szCs w:val="24"/>
              </w:rPr>
              <w:t>(w wieku od 18 do 45 lat)</w:t>
            </w:r>
          </w:p>
          <w:p w14:paraId="59633EA5" w14:textId="77777777" w:rsidR="00E96702" w:rsidRPr="00A13F2C" w:rsidRDefault="0095540B">
            <w:pPr>
              <w:pStyle w:val="Normal10pt0"/>
              <w:keepNext/>
              <w:jc w:val="center"/>
              <w:rPr>
                <w:rStyle w:val="Strong"/>
                <w:sz w:val="22"/>
                <w:szCs w:val="24"/>
              </w:rPr>
            </w:pPr>
            <w:r w:rsidRPr="00A13F2C">
              <w:rPr>
                <w:rStyle w:val="Strong"/>
                <w:sz w:val="22"/>
                <w:szCs w:val="24"/>
              </w:rPr>
              <w:t>Vaxchora</w:t>
            </w:r>
          </w:p>
        </w:tc>
        <w:tc>
          <w:tcPr>
            <w:tcW w:w="3722" w:type="dxa"/>
            <w:gridSpan w:val="2"/>
            <w:tcBorders>
              <w:top w:val="single" w:sz="12" w:space="0" w:color="auto"/>
              <w:bottom w:val="nil"/>
            </w:tcBorders>
          </w:tcPr>
          <w:p w14:paraId="4F671FC6" w14:textId="2C99186A" w:rsidR="00E96702" w:rsidRPr="00A13F2C" w:rsidRDefault="0095540B">
            <w:pPr>
              <w:pStyle w:val="Normal10pt0"/>
              <w:keepNext/>
              <w:jc w:val="center"/>
              <w:rPr>
                <w:rStyle w:val="Strong"/>
                <w:sz w:val="22"/>
                <w:szCs w:val="24"/>
              </w:rPr>
            </w:pPr>
            <w:r w:rsidRPr="00A13F2C">
              <w:rPr>
                <w:rStyle w:val="Strong"/>
                <w:sz w:val="22"/>
                <w:szCs w:val="24"/>
              </w:rPr>
              <w:t>Stars</w:t>
            </w:r>
            <w:r w:rsidR="00D74EB6">
              <w:rPr>
                <w:rStyle w:val="Strong"/>
                <w:sz w:val="22"/>
                <w:szCs w:val="24"/>
              </w:rPr>
              <w:t>i</w:t>
            </w:r>
            <w:r w:rsidRPr="00A13F2C">
              <w:rPr>
                <w:rStyle w:val="Strong"/>
                <w:sz w:val="22"/>
                <w:szCs w:val="24"/>
              </w:rPr>
              <w:t xml:space="preserve"> doro</w:t>
            </w:r>
            <w:r w:rsidR="00D74EB6">
              <w:rPr>
                <w:rStyle w:val="Strong"/>
                <w:sz w:val="22"/>
                <w:szCs w:val="24"/>
              </w:rPr>
              <w:t>śli</w:t>
            </w:r>
          </w:p>
          <w:p w14:paraId="423AD4FB" w14:textId="77777777" w:rsidR="00E96702" w:rsidRPr="00A13F2C" w:rsidRDefault="0095540B">
            <w:pPr>
              <w:pStyle w:val="Normal10pt0"/>
              <w:keepNext/>
              <w:jc w:val="center"/>
              <w:rPr>
                <w:rStyle w:val="Strong"/>
                <w:sz w:val="22"/>
                <w:szCs w:val="24"/>
              </w:rPr>
            </w:pPr>
            <w:r w:rsidRPr="00A13F2C">
              <w:rPr>
                <w:rStyle w:val="Strong"/>
                <w:sz w:val="22"/>
                <w:szCs w:val="24"/>
              </w:rPr>
              <w:t>(w wieku od 46 do 64 lat)</w:t>
            </w:r>
          </w:p>
          <w:p w14:paraId="66098A28" w14:textId="77777777" w:rsidR="00E96702" w:rsidRPr="00A13F2C" w:rsidRDefault="0095540B">
            <w:pPr>
              <w:pStyle w:val="Normal10pt0"/>
              <w:keepNext/>
              <w:jc w:val="center"/>
              <w:rPr>
                <w:rStyle w:val="Strong"/>
                <w:sz w:val="22"/>
                <w:szCs w:val="24"/>
              </w:rPr>
            </w:pPr>
            <w:r w:rsidRPr="00A13F2C">
              <w:rPr>
                <w:rStyle w:val="Strong"/>
                <w:sz w:val="22"/>
                <w:szCs w:val="24"/>
              </w:rPr>
              <w:t>Vaxchora</w:t>
            </w:r>
          </w:p>
        </w:tc>
      </w:tr>
      <w:tr w:rsidR="00E96702" w:rsidRPr="003A5089" w14:paraId="50FC4EA3" w14:textId="77777777">
        <w:tc>
          <w:tcPr>
            <w:tcW w:w="1860" w:type="dxa"/>
            <w:vMerge/>
            <w:tcBorders>
              <w:top w:val="nil"/>
              <w:bottom w:val="single" w:sz="12" w:space="0" w:color="auto"/>
            </w:tcBorders>
          </w:tcPr>
          <w:p w14:paraId="5E23207F" w14:textId="77777777" w:rsidR="00E96702" w:rsidRPr="00A13F2C" w:rsidRDefault="00E96702">
            <w:pPr>
              <w:pStyle w:val="Normal10pt0"/>
              <w:keepNext/>
              <w:rPr>
                <w:sz w:val="22"/>
                <w:szCs w:val="24"/>
              </w:rPr>
            </w:pPr>
          </w:p>
        </w:tc>
        <w:tc>
          <w:tcPr>
            <w:tcW w:w="1860" w:type="dxa"/>
            <w:tcBorders>
              <w:top w:val="nil"/>
              <w:bottom w:val="single" w:sz="12" w:space="0" w:color="auto"/>
            </w:tcBorders>
            <w:vAlign w:val="center"/>
          </w:tcPr>
          <w:p w14:paraId="04A29BAE" w14:textId="77777777" w:rsidR="00E96702" w:rsidRPr="00A13F2C" w:rsidRDefault="0095540B">
            <w:pPr>
              <w:pStyle w:val="Normal10pt0"/>
              <w:keepNext/>
              <w:jc w:val="center"/>
              <w:rPr>
                <w:sz w:val="22"/>
                <w:szCs w:val="24"/>
              </w:rPr>
            </w:pPr>
            <w:r w:rsidRPr="00A13F2C">
              <w:rPr>
                <w:sz w:val="22"/>
                <w:szCs w:val="24"/>
              </w:rPr>
              <w:t>N</w:t>
            </w:r>
            <w:r w:rsidRPr="00A13F2C">
              <w:rPr>
                <w:rStyle w:val="Superscript"/>
                <w:sz w:val="22"/>
                <w:szCs w:val="24"/>
              </w:rPr>
              <w:t>a</w:t>
            </w:r>
          </w:p>
        </w:tc>
        <w:tc>
          <w:tcPr>
            <w:tcW w:w="1861" w:type="dxa"/>
            <w:tcBorders>
              <w:top w:val="nil"/>
              <w:bottom w:val="single" w:sz="12" w:space="0" w:color="auto"/>
            </w:tcBorders>
          </w:tcPr>
          <w:p w14:paraId="6D3B1922" w14:textId="77777777" w:rsidR="00E96702" w:rsidRPr="00A13F2C" w:rsidRDefault="0095540B">
            <w:pPr>
              <w:pStyle w:val="Normal10pt0"/>
              <w:keepNext/>
              <w:jc w:val="center"/>
              <w:rPr>
                <w:rStyle w:val="Superscript"/>
                <w:sz w:val="22"/>
                <w:szCs w:val="24"/>
              </w:rPr>
            </w:pPr>
            <w:r w:rsidRPr="00A13F2C">
              <w:rPr>
                <w:sz w:val="22"/>
                <w:szCs w:val="24"/>
              </w:rPr>
              <w:t>%</w:t>
            </w:r>
            <w:r w:rsidRPr="00A13F2C">
              <w:rPr>
                <w:rStyle w:val="Superscript"/>
                <w:sz w:val="22"/>
                <w:szCs w:val="24"/>
              </w:rPr>
              <w:t>b</w:t>
            </w:r>
          </w:p>
          <w:p w14:paraId="0F400CAA" w14:textId="77777777" w:rsidR="00E96702" w:rsidRPr="00A13F2C" w:rsidRDefault="0095540B">
            <w:pPr>
              <w:pStyle w:val="Normal10pt0"/>
              <w:keepNext/>
              <w:jc w:val="center"/>
              <w:rPr>
                <w:sz w:val="22"/>
                <w:szCs w:val="24"/>
              </w:rPr>
            </w:pPr>
            <w:r w:rsidRPr="00A13F2C">
              <w:rPr>
                <w:sz w:val="22"/>
                <w:szCs w:val="24"/>
              </w:rPr>
              <w:t>[CI</w:t>
            </w:r>
            <w:r w:rsidRPr="00A13F2C">
              <w:rPr>
                <w:rStyle w:val="Superscript"/>
                <w:sz w:val="22"/>
                <w:szCs w:val="24"/>
              </w:rPr>
              <w:t>c</w:t>
            </w:r>
            <w:r w:rsidRPr="00A13F2C">
              <w:rPr>
                <w:sz w:val="22"/>
                <w:szCs w:val="24"/>
              </w:rPr>
              <w:t xml:space="preserve"> 95%]</w:t>
            </w:r>
          </w:p>
        </w:tc>
        <w:tc>
          <w:tcPr>
            <w:tcW w:w="1861" w:type="dxa"/>
            <w:tcBorders>
              <w:top w:val="nil"/>
              <w:bottom w:val="single" w:sz="12" w:space="0" w:color="auto"/>
            </w:tcBorders>
            <w:vAlign w:val="center"/>
          </w:tcPr>
          <w:p w14:paraId="27328B09" w14:textId="77777777" w:rsidR="00E96702" w:rsidRPr="00A13F2C" w:rsidRDefault="0095540B">
            <w:pPr>
              <w:pStyle w:val="Normal10pt0"/>
              <w:keepNext/>
              <w:jc w:val="center"/>
              <w:rPr>
                <w:sz w:val="22"/>
                <w:szCs w:val="24"/>
              </w:rPr>
            </w:pPr>
            <w:r w:rsidRPr="00A13F2C">
              <w:rPr>
                <w:sz w:val="22"/>
                <w:szCs w:val="24"/>
              </w:rPr>
              <w:t>N</w:t>
            </w:r>
            <w:r w:rsidRPr="00A13F2C">
              <w:rPr>
                <w:rStyle w:val="Superscript"/>
                <w:sz w:val="22"/>
                <w:szCs w:val="24"/>
              </w:rPr>
              <w:t>a</w:t>
            </w:r>
          </w:p>
        </w:tc>
        <w:tc>
          <w:tcPr>
            <w:tcW w:w="1861" w:type="dxa"/>
            <w:tcBorders>
              <w:top w:val="nil"/>
              <w:bottom w:val="single" w:sz="12" w:space="0" w:color="auto"/>
            </w:tcBorders>
          </w:tcPr>
          <w:p w14:paraId="590C915D" w14:textId="77777777" w:rsidR="00E96702" w:rsidRPr="00A13F2C" w:rsidRDefault="0095540B">
            <w:pPr>
              <w:pStyle w:val="Normal10pt0"/>
              <w:keepNext/>
              <w:jc w:val="center"/>
              <w:rPr>
                <w:sz w:val="22"/>
                <w:szCs w:val="24"/>
              </w:rPr>
            </w:pPr>
            <w:r w:rsidRPr="00A13F2C">
              <w:rPr>
                <w:sz w:val="22"/>
                <w:szCs w:val="24"/>
              </w:rPr>
              <w:t>%</w:t>
            </w:r>
          </w:p>
          <w:p w14:paraId="5231865C" w14:textId="77777777" w:rsidR="00E96702" w:rsidRPr="00A13F2C" w:rsidRDefault="0095540B">
            <w:pPr>
              <w:pStyle w:val="Normal10pt0"/>
              <w:keepNext/>
              <w:jc w:val="center"/>
              <w:rPr>
                <w:sz w:val="22"/>
                <w:szCs w:val="24"/>
              </w:rPr>
            </w:pPr>
            <w:r w:rsidRPr="00A13F2C">
              <w:rPr>
                <w:sz w:val="22"/>
                <w:szCs w:val="24"/>
              </w:rPr>
              <w:t>[CI 95%]</w:t>
            </w:r>
          </w:p>
        </w:tc>
      </w:tr>
      <w:tr w:rsidR="00E96702" w:rsidRPr="003A5089" w14:paraId="48F4EC57" w14:textId="77777777">
        <w:tc>
          <w:tcPr>
            <w:tcW w:w="1860" w:type="dxa"/>
            <w:tcBorders>
              <w:top w:val="single" w:sz="12" w:space="0" w:color="auto"/>
            </w:tcBorders>
            <w:vAlign w:val="center"/>
          </w:tcPr>
          <w:p w14:paraId="7A61AD89" w14:textId="77777777" w:rsidR="00E96702" w:rsidRPr="00A13F2C" w:rsidRDefault="0095540B">
            <w:pPr>
              <w:pStyle w:val="Normal10pt0"/>
              <w:keepNext/>
              <w:rPr>
                <w:sz w:val="22"/>
                <w:szCs w:val="24"/>
              </w:rPr>
            </w:pPr>
            <w:r w:rsidRPr="00A13F2C">
              <w:rPr>
                <w:sz w:val="22"/>
                <w:szCs w:val="24"/>
              </w:rPr>
              <w:t>Inaba, biotyp klasyczny</w:t>
            </w:r>
            <w:r w:rsidRPr="00A13F2C">
              <w:rPr>
                <w:rStyle w:val="Superscript"/>
                <w:sz w:val="22"/>
                <w:szCs w:val="24"/>
              </w:rPr>
              <w:t>d</w:t>
            </w:r>
          </w:p>
        </w:tc>
        <w:tc>
          <w:tcPr>
            <w:tcW w:w="1860" w:type="dxa"/>
            <w:tcBorders>
              <w:top w:val="single" w:sz="12" w:space="0" w:color="auto"/>
            </w:tcBorders>
            <w:vAlign w:val="center"/>
          </w:tcPr>
          <w:p w14:paraId="104B574F" w14:textId="77777777" w:rsidR="00E96702" w:rsidRPr="00A13F2C" w:rsidRDefault="0095540B">
            <w:pPr>
              <w:pStyle w:val="Normal10pt0"/>
              <w:keepNext/>
              <w:jc w:val="center"/>
              <w:rPr>
                <w:sz w:val="22"/>
                <w:szCs w:val="24"/>
              </w:rPr>
            </w:pPr>
            <w:r w:rsidRPr="00A13F2C">
              <w:rPr>
                <w:sz w:val="22"/>
                <w:szCs w:val="24"/>
              </w:rPr>
              <w:t>93</w:t>
            </w:r>
          </w:p>
        </w:tc>
        <w:tc>
          <w:tcPr>
            <w:tcW w:w="1861" w:type="dxa"/>
            <w:tcBorders>
              <w:top w:val="single" w:sz="12" w:space="0" w:color="auto"/>
            </w:tcBorders>
            <w:vAlign w:val="center"/>
          </w:tcPr>
          <w:p w14:paraId="356132F6" w14:textId="77777777" w:rsidR="00E96702" w:rsidRPr="00A13F2C" w:rsidRDefault="0095540B">
            <w:pPr>
              <w:pStyle w:val="Normal10pt0"/>
              <w:keepNext/>
              <w:jc w:val="center"/>
              <w:rPr>
                <w:sz w:val="22"/>
                <w:szCs w:val="24"/>
              </w:rPr>
            </w:pPr>
            <w:r w:rsidRPr="00A13F2C">
              <w:rPr>
                <w:sz w:val="22"/>
                <w:szCs w:val="24"/>
              </w:rPr>
              <w:t>90,3%</w:t>
            </w:r>
          </w:p>
          <w:p w14:paraId="6CECE939" w14:textId="77777777" w:rsidR="00E96702" w:rsidRPr="00A13F2C" w:rsidRDefault="0095540B">
            <w:pPr>
              <w:pStyle w:val="Normal10pt0"/>
              <w:keepNext/>
              <w:jc w:val="center"/>
              <w:rPr>
                <w:sz w:val="22"/>
                <w:szCs w:val="24"/>
              </w:rPr>
            </w:pPr>
            <w:r w:rsidRPr="00A13F2C">
              <w:rPr>
                <w:sz w:val="22"/>
                <w:szCs w:val="24"/>
              </w:rPr>
              <w:t>[82,4%; 95,5%]</w:t>
            </w:r>
          </w:p>
        </w:tc>
        <w:tc>
          <w:tcPr>
            <w:tcW w:w="1861" w:type="dxa"/>
            <w:tcBorders>
              <w:top w:val="single" w:sz="12" w:space="0" w:color="auto"/>
            </w:tcBorders>
            <w:vAlign w:val="center"/>
          </w:tcPr>
          <w:p w14:paraId="57BC1216" w14:textId="77777777" w:rsidR="00E96702" w:rsidRPr="00A13F2C" w:rsidRDefault="0095540B">
            <w:pPr>
              <w:pStyle w:val="Normal10pt0"/>
              <w:keepNext/>
              <w:jc w:val="center"/>
              <w:rPr>
                <w:sz w:val="22"/>
                <w:szCs w:val="24"/>
              </w:rPr>
            </w:pPr>
            <w:r w:rsidRPr="00A13F2C">
              <w:rPr>
                <w:sz w:val="22"/>
                <w:szCs w:val="24"/>
              </w:rPr>
              <w:t>291</w:t>
            </w:r>
          </w:p>
        </w:tc>
        <w:tc>
          <w:tcPr>
            <w:tcW w:w="1861" w:type="dxa"/>
            <w:tcBorders>
              <w:top w:val="single" w:sz="12" w:space="0" w:color="auto"/>
            </w:tcBorders>
            <w:vAlign w:val="center"/>
          </w:tcPr>
          <w:p w14:paraId="650EC2DC" w14:textId="77777777" w:rsidR="00E96702" w:rsidRPr="00A13F2C" w:rsidRDefault="0095540B">
            <w:pPr>
              <w:pStyle w:val="Normal10pt0"/>
              <w:keepNext/>
              <w:jc w:val="center"/>
              <w:rPr>
                <w:sz w:val="22"/>
                <w:szCs w:val="24"/>
              </w:rPr>
            </w:pPr>
            <w:r w:rsidRPr="00A13F2C">
              <w:rPr>
                <w:sz w:val="22"/>
                <w:szCs w:val="24"/>
              </w:rPr>
              <w:t>90,4%</w:t>
            </w:r>
          </w:p>
          <w:p w14:paraId="02566F35" w14:textId="77777777" w:rsidR="00E96702" w:rsidRPr="00A13F2C" w:rsidRDefault="0095540B">
            <w:pPr>
              <w:pStyle w:val="Normal10pt0"/>
              <w:keepNext/>
              <w:jc w:val="center"/>
              <w:rPr>
                <w:sz w:val="22"/>
                <w:szCs w:val="24"/>
              </w:rPr>
            </w:pPr>
            <w:r w:rsidRPr="00A13F2C">
              <w:rPr>
                <w:sz w:val="22"/>
                <w:szCs w:val="24"/>
              </w:rPr>
              <w:t>[86,4%; 93,5%]</w:t>
            </w:r>
          </w:p>
        </w:tc>
      </w:tr>
      <w:tr w:rsidR="00E96702" w:rsidRPr="003A5089" w14:paraId="4C0B0254" w14:textId="77777777">
        <w:tc>
          <w:tcPr>
            <w:tcW w:w="1860" w:type="dxa"/>
            <w:vAlign w:val="center"/>
          </w:tcPr>
          <w:p w14:paraId="771BA643" w14:textId="77777777" w:rsidR="00E96702" w:rsidRPr="00A13F2C" w:rsidRDefault="0095540B">
            <w:pPr>
              <w:pStyle w:val="Normal10pt0"/>
              <w:keepNext/>
              <w:rPr>
                <w:sz w:val="22"/>
                <w:szCs w:val="24"/>
              </w:rPr>
            </w:pPr>
            <w:r w:rsidRPr="00A13F2C">
              <w:rPr>
                <w:sz w:val="22"/>
                <w:szCs w:val="24"/>
              </w:rPr>
              <w:t>Inaba, biotyp El Tor</w:t>
            </w:r>
          </w:p>
        </w:tc>
        <w:tc>
          <w:tcPr>
            <w:tcW w:w="1860" w:type="dxa"/>
            <w:vAlign w:val="center"/>
          </w:tcPr>
          <w:p w14:paraId="7AC65551" w14:textId="77777777" w:rsidR="00E96702" w:rsidRPr="00A13F2C" w:rsidRDefault="0095540B">
            <w:pPr>
              <w:pStyle w:val="Normal10pt0"/>
              <w:keepNext/>
              <w:jc w:val="center"/>
              <w:rPr>
                <w:sz w:val="22"/>
                <w:szCs w:val="24"/>
              </w:rPr>
            </w:pPr>
            <w:r w:rsidRPr="00A13F2C">
              <w:rPr>
                <w:sz w:val="22"/>
                <w:szCs w:val="24"/>
              </w:rPr>
              <w:t>93</w:t>
            </w:r>
          </w:p>
        </w:tc>
        <w:tc>
          <w:tcPr>
            <w:tcW w:w="1861" w:type="dxa"/>
            <w:vAlign w:val="center"/>
          </w:tcPr>
          <w:p w14:paraId="25C403BB" w14:textId="77777777" w:rsidR="00E96702" w:rsidRPr="00A13F2C" w:rsidRDefault="0095540B">
            <w:pPr>
              <w:pStyle w:val="Normal10pt0"/>
              <w:keepNext/>
              <w:jc w:val="center"/>
              <w:rPr>
                <w:sz w:val="22"/>
                <w:szCs w:val="24"/>
              </w:rPr>
            </w:pPr>
            <w:r w:rsidRPr="00A13F2C">
              <w:rPr>
                <w:sz w:val="22"/>
                <w:szCs w:val="24"/>
              </w:rPr>
              <w:t>91,4%</w:t>
            </w:r>
          </w:p>
          <w:p w14:paraId="6BCFE7C9" w14:textId="77777777" w:rsidR="00E96702" w:rsidRPr="00A13F2C" w:rsidRDefault="0095540B">
            <w:pPr>
              <w:pStyle w:val="Normal10pt0"/>
              <w:keepNext/>
              <w:jc w:val="center"/>
              <w:rPr>
                <w:sz w:val="22"/>
                <w:szCs w:val="24"/>
              </w:rPr>
            </w:pPr>
            <w:r w:rsidRPr="00A13F2C">
              <w:rPr>
                <w:sz w:val="22"/>
                <w:szCs w:val="24"/>
              </w:rPr>
              <w:t>[83,8%; 96,2%]</w:t>
            </w:r>
          </w:p>
        </w:tc>
        <w:tc>
          <w:tcPr>
            <w:tcW w:w="1861" w:type="dxa"/>
            <w:vAlign w:val="center"/>
          </w:tcPr>
          <w:p w14:paraId="21FBF578" w14:textId="77777777" w:rsidR="00E96702" w:rsidRPr="00A13F2C" w:rsidRDefault="0095540B">
            <w:pPr>
              <w:pStyle w:val="Normal10pt0"/>
              <w:keepNext/>
              <w:jc w:val="center"/>
              <w:rPr>
                <w:sz w:val="22"/>
                <w:szCs w:val="24"/>
              </w:rPr>
            </w:pPr>
            <w:r w:rsidRPr="00A13F2C">
              <w:rPr>
                <w:sz w:val="22"/>
                <w:szCs w:val="24"/>
              </w:rPr>
              <w:t>290</w:t>
            </w:r>
          </w:p>
        </w:tc>
        <w:tc>
          <w:tcPr>
            <w:tcW w:w="1861" w:type="dxa"/>
            <w:vAlign w:val="center"/>
          </w:tcPr>
          <w:p w14:paraId="5A04C25A" w14:textId="77777777" w:rsidR="00E96702" w:rsidRPr="00A13F2C" w:rsidRDefault="0095540B">
            <w:pPr>
              <w:pStyle w:val="Normal10pt0"/>
              <w:keepNext/>
              <w:jc w:val="center"/>
              <w:rPr>
                <w:sz w:val="22"/>
                <w:szCs w:val="24"/>
              </w:rPr>
            </w:pPr>
            <w:r w:rsidRPr="00A13F2C">
              <w:rPr>
                <w:sz w:val="22"/>
                <w:szCs w:val="24"/>
              </w:rPr>
              <w:t>91,0%</w:t>
            </w:r>
          </w:p>
          <w:p w14:paraId="03A0D4A9" w14:textId="77777777" w:rsidR="00E96702" w:rsidRPr="00A13F2C" w:rsidRDefault="0095540B">
            <w:pPr>
              <w:pStyle w:val="Normal10pt0"/>
              <w:keepNext/>
              <w:jc w:val="center"/>
              <w:rPr>
                <w:sz w:val="22"/>
                <w:szCs w:val="24"/>
              </w:rPr>
            </w:pPr>
            <w:r w:rsidRPr="00A13F2C">
              <w:rPr>
                <w:sz w:val="22"/>
                <w:szCs w:val="24"/>
              </w:rPr>
              <w:t>[87,1%; 94,1%]</w:t>
            </w:r>
          </w:p>
        </w:tc>
      </w:tr>
      <w:tr w:rsidR="00E96702" w:rsidRPr="003A5089" w14:paraId="01516DB9" w14:textId="77777777">
        <w:tc>
          <w:tcPr>
            <w:tcW w:w="1860" w:type="dxa"/>
            <w:vAlign w:val="center"/>
          </w:tcPr>
          <w:p w14:paraId="5D652D6D" w14:textId="77777777" w:rsidR="00E96702" w:rsidRPr="00A13F2C" w:rsidRDefault="0095540B">
            <w:pPr>
              <w:pStyle w:val="Normal10pt0"/>
              <w:keepNext/>
              <w:rPr>
                <w:sz w:val="22"/>
                <w:szCs w:val="24"/>
              </w:rPr>
            </w:pPr>
            <w:r w:rsidRPr="00A13F2C">
              <w:rPr>
                <w:sz w:val="22"/>
                <w:szCs w:val="24"/>
              </w:rPr>
              <w:t>Ogawa, biotyp klasyczny</w:t>
            </w:r>
          </w:p>
        </w:tc>
        <w:tc>
          <w:tcPr>
            <w:tcW w:w="1860" w:type="dxa"/>
            <w:vAlign w:val="center"/>
          </w:tcPr>
          <w:p w14:paraId="0D8C916E" w14:textId="77777777" w:rsidR="00E96702" w:rsidRPr="00A13F2C" w:rsidRDefault="0095540B">
            <w:pPr>
              <w:pStyle w:val="Normal10pt0"/>
              <w:keepNext/>
              <w:jc w:val="center"/>
              <w:rPr>
                <w:sz w:val="22"/>
                <w:szCs w:val="24"/>
              </w:rPr>
            </w:pPr>
            <w:r w:rsidRPr="00A13F2C">
              <w:rPr>
                <w:sz w:val="22"/>
                <w:szCs w:val="24"/>
              </w:rPr>
              <w:t>93</w:t>
            </w:r>
          </w:p>
        </w:tc>
        <w:tc>
          <w:tcPr>
            <w:tcW w:w="1861" w:type="dxa"/>
            <w:vAlign w:val="center"/>
          </w:tcPr>
          <w:p w14:paraId="64B3F2D7" w14:textId="77777777" w:rsidR="00E96702" w:rsidRPr="00A13F2C" w:rsidRDefault="0095540B">
            <w:pPr>
              <w:pStyle w:val="Normal10pt0"/>
              <w:keepNext/>
              <w:jc w:val="center"/>
              <w:rPr>
                <w:sz w:val="22"/>
                <w:szCs w:val="24"/>
              </w:rPr>
            </w:pPr>
            <w:r w:rsidRPr="00A13F2C">
              <w:rPr>
                <w:sz w:val="22"/>
                <w:szCs w:val="24"/>
              </w:rPr>
              <w:t>87,1%</w:t>
            </w:r>
          </w:p>
          <w:p w14:paraId="6677FFB0" w14:textId="77777777" w:rsidR="00E96702" w:rsidRPr="00A13F2C" w:rsidRDefault="0095540B">
            <w:pPr>
              <w:pStyle w:val="Normal10pt0"/>
              <w:keepNext/>
              <w:jc w:val="center"/>
              <w:rPr>
                <w:sz w:val="22"/>
                <w:szCs w:val="24"/>
              </w:rPr>
            </w:pPr>
            <w:r w:rsidRPr="00A13F2C">
              <w:rPr>
                <w:sz w:val="22"/>
                <w:szCs w:val="24"/>
              </w:rPr>
              <w:t>[78,5%; 93,2%]</w:t>
            </w:r>
          </w:p>
        </w:tc>
        <w:tc>
          <w:tcPr>
            <w:tcW w:w="1861" w:type="dxa"/>
            <w:vAlign w:val="center"/>
          </w:tcPr>
          <w:p w14:paraId="2498FE1F" w14:textId="77777777" w:rsidR="00E96702" w:rsidRPr="00A13F2C" w:rsidRDefault="0095540B">
            <w:pPr>
              <w:pStyle w:val="Normal10pt0"/>
              <w:keepNext/>
              <w:jc w:val="center"/>
              <w:rPr>
                <w:sz w:val="22"/>
                <w:szCs w:val="24"/>
              </w:rPr>
            </w:pPr>
            <w:r w:rsidRPr="00A13F2C">
              <w:rPr>
                <w:sz w:val="22"/>
                <w:szCs w:val="24"/>
              </w:rPr>
              <w:t>291</w:t>
            </w:r>
          </w:p>
        </w:tc>
        <w:tc>
          <w:tcPr>
            <w:tcW w:w="1861" w:type="dxa"/>
            <w:vAlign w:val="center"/>
          </w:tcPr>
          <w:p w14:paraId="1C59B66B" w14:textId="77777777" w:rsidR="00E96702" w:rsidRPr="00A13F2C" w:rsidRDefault="0095540B">
            <w:pPr>
              <w:pStyle w:val="Normal10pt0"/>
              <w:keepNext/>
              <w:jc w:val="center"/>
              <w:rPr>
                <w:sz w:val="22"/>
                <w:szCs w:val="24"/>
              </w:rPr>
            </w:pPr>
            <w:r w:rsidRPr="00A13F2C">
              <w:rPr>
                <w:sz w:val="22"/>
                <w:szCs w:val="24"/>
              </w:rPr>
              <w:t>73,2%</w:t>
            </w:r>
          </w:p>
          <w:p w14:paraId="38B7E177" w14:textId="77777777" w:rsidR="00E96702" w:rsidRPr="00A13F2C" w:rsidRDefault="0095540B">
            <w:pPr>
              <w:pStyle w:val="Normal10pt0"/>
              <w:keepNext/>
              <w:jc w:val="center"/>
              <w:rPr>
                <w:sz w:val="22"/>
                <w:szCs w:val="24"/>
              </w:rPr>
            </w:pPr>
            <w:r w:rsidRPr="00A13F2C">
              <w:rPr>
                <w:sz w:val="22"/>
                <w:szCs w:val="24"/>
              </w:rPr>
              <w:t>[67,7%; 78,2%]</w:t>
            </w:r>
          </w:p>
        </w:tc>
      </w:tr>
      <w:tr w:rsidR="00E96702" w:rsidRPr="003A5089" w14:paraId="3A4E3545" w14:textId="77777777">
        <w:tc>
          <w:tcPr>
            <w:tcW w:w="1860" w:type="dxa"/>
            <w:vAlign w:val="center"/>
          </w:tcPr>
          <w:p w14:paraId="2BEAFD5E" w14:textId="77777777" w:rsidR="00E96702" w:rsidRPr="00A13F2C" w:rsidRDefault="0095540B">
            <w:pPr>
              <w:pStyle w:val="Normal10pt0"/>
              <w:keepNext/>
              <w:rPr>
                <w:sz w:val="22"/>
                <w:szCs w:val="24"/>
              </w:rPr>
            </w:pPr>
            <w:r w:rsidRPr="00A13F2C">
              <w:rPr>
                <w:sz w:val="22"/>
                <w:szCs w:val="24"/>
              </w:rPr>
              <w:t>Ogawa, biotyp El Tor</w:t>
            </w:r>
          </w:p>
        </w:tc>
        <w:tc>
          <w:tcPr>
            <w:tcW w:w="1860" w:type="dxa"/>
            <w:vAlign w:val="center"/>
          </w:tcPr>
          <w:p w14:paraId="7106CA9A" w14:textId="77777777" w:rsidR="00E96702" w:rsidRPr="00A13F2C" w:rsidRDefault="0095540B">
            <w:pPr>
              <w:pStyle w:val="Normal10pt0"/>
              <w:keepNext/>
              <w:jc w:val="center"/>
              <w:rPr>
                <w:sz w:val="22"/>
                <w:szCs w:val="24"/>
              </w:rPr>
            </w:pPr>
            <w:r w:rsidRPr="00A13F2C">
              <w:rPr>
                <w:sz w:val="22"/>
                <w:szCs w:val="24"/>
              </w:rPr>
              <w:t>93</w:t>
            </w:r>
          </w:p>
        </w:tc>
        <w:tc>
          <w:tcPr>
            <w:tcW w:w="1861" w:type="dxa"/>
            <w:vAlign w:val="center"/>
          </w:tcPr>
          <w:p w14:paraId="2C9757EA" w14:textId="77777777" w:rsidR="00E96702" w:rsidRPr="00A13F2C" w:rsidRDefault="0095540B">
            <w:pPr>
              <w:pStyle w:val="Normal10pt0"/>
              <w:keepNext/>
              <w:jc w:val="center"/>
              <w:rPr>
                <w:sz w:val="22"/>
                <w:szCs w:val="24"/>
              </w:rPr>
            </w:pPr>
            <w:r w:rsidRPr="00A13F2C">
              <w:rPr>
                <w:sz w:val="22"/>
                <w:szCs w:val="24"/>
              </w:rPr>
              <w:t>89,2%</w:t>
            </w:r>
          </w:p>
          <w:p w14:paraId="451485B2" w14:textId="77777777" w:rsidR="00E96702" w:rsidRPr="00A13F2C" w:rsidRDefault="0095540B">
            <w:pPr>
              <w:pStyle w:val="Normal10pt0"/>
              <w:keepNext/>
              <w:jc w:val="center"/>
              <w:rPr>
                <w:sz w:val="22"/>
                <w:szCs w:val="24"/>
              </w:rPr>
            </w:pPr>
            <w:r w:rsidRPr="00A13F2C">
              <w:rPr>
                <w:sz w:val="22"/>
                <w:szCs w:val="24"/>
              </w:rPr>
              <w:t>[81,1%; 94,7%]</w:t>
            </w:r>
          </w:p>
        </w:tc>
        <w:tc>
          <w:tcPr>
            <w:tcW w:w="1861" w:type="dxa"/>
            <w:vAlign w:val="center"/>
          </w:tcPr>
          <w:p w14:paraId="3F59E7C3" w14:textId="77777777" w:rsidR="00E96702" w:rsidRPr="00A13F2C" w:rsidRDefault="0095540B">
            <w:pPr>
              <w:pStyle w:val="Normal10pt0"/>
              <w:keepNext/>
              <w:jc w:val="center"/>
              <w:rPr>
                <w:sz w:val="22"/>
                <w:szCs w:val="24"/>
              </w:rPr>
            </w:pPr>
            <w:r w:rsidRPr="00A13F2C">
              <w:rPr>
                <w:sz w:val="22"/>
                <w:szCs w:val="24"/>
              </w:rPr>
              <w:t>290</w:t>
            </w:r>
          </w:p>
        </w:tc>
        <w:tc>
          <w:tcPr>
            <w:tcW w:w="1861" w:type="dxa"/>
            <w:vAlign w:val="center"/>
          </w:tcPr>
          <w:p w14:paraId="771D0578" w14:textId="77777777" w:rsidR="00E96702" w:rsidRPr="00A13F2C" w:rsidRDefault="0095540B">
            <w:pPr>
              <w:pStyle w:val="Normal10pt0"/>
              <w:keepNext/>
              <w:jc w:val="center"/>
              <w:rPr>
                <w:sz w:val="22"/>
                <w:szCs w:val="24"/>
              </w:rPr>
            </w:pPr>
            <w:r w:rsidRPr="00A13F2C">
              <w:rPr>
                <w:sz w:val="22"/>
                <w:szCs w:val="24"/>
              </w:rPr>
              <w:t>71,4%</w:t>
            </w:r>
          </w:p>
          <w:p w14:paraId="2F67C06F" w14:textId="77777777" w:rsidR="00E96702" w:rsidRPr="00A13F2C" w:rsidRDefault="0095540B">
            <w:pPr>
              <w:pStyle w:val="Normal10pt0"/>
              <w:keepNext/>
              <w:jc w:val="center"/>
              <w:rPr>
                <w:sz w:val="22"/>
                <w:szCs w:val="24"/>
              </w:rPr>
            </w:pPr>
            <w:r w:rsidRPr="00A13F2C">
              <w:rPr>
                <w:sz w:val="22"/>
                <w:szCs w:val="24"/>
              </w:rPr>
              <w:t>[65,8%; 76,5%]</w:t>
            </w:r>
          </w:p>
        </w:tc>
      </w:tr>
    </w:tbl>
    <w:p w14:paraId="655E74D3" w14:textId="084A5328" w:rsidR="00E96702" w:rsidRDefault="0095540B" w:rsidP="000850EA">
      <w:pPr>
        <w:pStyle w:val="Normal10pt0"/>
        <w:keepNext/>
        <w:ind w:left="284" w:hanging="284"/>
      </w:pPr>
      <w:r>
        <w:rPr>
          <w:rStyle w:val="Superscript"/>
        </w:rPr>
        <w:t>a</w:t>
      </w:r>
      <w:r w:rsidR="000850EA">
        <w:rPr>
          <w:rStyle w:val="Superscript"/>
        </w:rPr>
        <w:tab/>
      </w:r>
      <w:r>
        <w:t>N = liczba uczestników badania, u których przeprowadzono pomiary w punkcie wyjściowym i 10 dni po szczepieniu. U jednego uczestnika badania z udziałem młodszych dorosłych nie wykonano pomiaru w 11. dniu i wykluczono go z analizy.</w:t>
      </w:r>
    </w:p>
    <w:p w14:paraId="73B4BDE8" w14:textId="59C1BA3A" w:rsidR="00E96702" w:rsidRDefault="0095540B" w:rsidP="000850EA">
      <w:pPr>
        <w:pStyle w:val="Normal10pt0"/>
        <w:keepNext/>
        <w:ind w:left="284" w:hanging="284"/>
      </w:pPr>
      <w:r>
        <w:rPr>
          <w:rStyle w:val="Superscript"/>
        </w:rPr>
        <w:t>b</w:t>
      </w:r>
      <w:r w:rsidR="000850EA">
        <w:tab/>
      </w:r>
      <w:r>
        <w:t>Serokonwersję zdefiniowano jako odsetek uczestników badania, u których po upływie 10 dni od szczepienia nastąpił co najmniej 4</w:t>
      </w:r>
      <w:r>
        <w:noBreakHyphen/>
        <w:t>krotny wzrost miana przeciwciał bójczych wobec przecinkowca względem miana oznaczonego w punkcie wyjściowym.</w:t>
      </w:r>
    </w:p>
    <w:p w14:paraId="77E665C3" w14:textId="6B339992" w:rsidR="00E96702" w:rsidRDefault="0095540B" w:rsidP="000850EA">
      <w:pPr>
        <w:pStyle w:val="Normal10pt0"/>
        <w:keepNext/>
        <w:ind w:left="284" w:hanging="284"/>
      </w:pPr>
      <w:r>
        <w:rPr>
          <w:rStyle w:val="Superscript"/>
        </w:rPr>
        <w:t>c</w:t>
      </w:r>
      <w:r w:rsidR="000850EA">
        <w:tab/>
      </w:r>
      <w:r>
        <w:t>CI = przedział ufności.</w:t>
      </w:r>
    </w:p>
    <w:p w14:paraId="5CDAED0A" w14:textId="2664E54C" w:rsidR="00E96702" w:rsidRDefault="0095540B" w:rsidP="000850EA">
      <w:pPr>
        <w:pStyle w:val="Normal10pt0"/>
        <w:ind w:left="284" w:hanging="284"/>
      </w:pPr>
      <w:r>
        <w:rPr>
          <w:rStyle w:val="Superscript"/>
        </w:rPr>
        <w:t>d</w:t>
      </w:r>
      <w:r w:rsidR="000850EA">
        <w:tab/>
      </w:r>
      <w:r>
        <w:t xml:space="preserve">Produkt leczniczy Vaxchora zawiera szczep bakterii </w:t>
      </w:r>
      <w:r>
        <w:rPr>
          <w:rStyle w:val="Emphasis"/>
        </w:rPr>
        <w:t>V</w:t>
      </w:r>
      <w:r w:rsidR="00381852">
        <w:rPr>
          <w:rStyle w:val="Emphasis"/>
        </w:rPr>
        <w:t>ibrio</w:t>
      </w:r>
      <w:r>
        <w:t> </w:t>
      </w:r>
      <w:r>
        <w:rPr>
          <w:rStyle w:val="Emphasis"/>
        </w:rPr>
        <w:t>cholerae</w:t>
      </w:r>
      <w:r>
        <w:t xml:space="preserve"> O1, serotyp Inaba, biotyp klasyczny.</w:t>
      </w:r>
    </w:p>
    <w:p w14:paraId="55C47492" w14:textId="77777777" w:rsidR="00E96702" w:rsidRDefault="00E96702"/>
    <w:p w14:paraId="6CB8DA01" w14:textId="77777777" w:rsidR="00E96702" w:rsidRDefault="0095540B">
      <w:pPr>
        <w:pStyle w:val="HeadingUnderlined"/>
      </w:pPr>
      <w:r>
        <w:t>Dzieci i młodzież</w:t>
      </w:r>
    </w:p>
    <w:p w14:paraId="0A9057D2" w14:textId="4E8A09F0" w:rsidR="00E96702" w:rsidRDefault="0095540B">
      <w:r>
        <w:t>Przeprowadzono badanie immunogenności u </w:t>
      </w:r>
      <w:r w:rsidR="0076657E" w:rsidRPr="0076657E">
        <w:t>550</w:t>
      </w:r>
      <w:r>
        <w:t xml:space="preserve"> zdrowych dzieci w wieku od </w:t>
      </w:r>
      <w:r w:rsidR="0076657E">
        <w:t xml:space="preserve">2 </w:t>
      </w:r>
      <w:r>
        <w:t>do &lt;</w:t>
      </w:r>
      <w:r w:rsidR="000850EA">
        <w:t> </w:t>
      </w:r>
      <w:r>
        <w:t xml:space="preserve">18 lat (średni wiek: </w:t>
      </w:r>
      <w:r w:rsidR="0076657E">
        <w:t>9</w:t>
      </w:r>
      <w:r>
        <w:t>,</w:t>
      </w:r>
      <w:r w:rsidR="0076657E">
        <w:t>0 </w:t>
      </w:r>
      <w:r>
        <w:t xml:space="preserve">lat, zakres: </w:t>
      </w:r>
      <w:r w:rsidR="0076657E">
        <w:t>2</w:t>
      </w:r>
      <w:r>
        <w:noBreakHyphen/>
        <w:t>17 lat; 52,</w:t>
      </w:r>
      <w:r w:rsidR="0076657E">
        <w:t>0</w:t>
      </w:r>
      <w:r>
        <w:t xml:space="preserve">% chłopców, </w:t>
      </w:r>
      <w:r w:rsidR="0076657E">
        <w:t>48</w:t>
      </w:r>
      <w:r>
        <w:t>,</w:t>
      </w:r>
      <w:r w:rsidR="0076657E">
        <w:t>0</w:t>
      </w:r>
      <w:r>
        <w:t>% dziewczynek)</w:t>
      </w:r>
      <w:r w:rsidR="00381852">
        <w:t xml:space="preserve"> (badanie 5)</w:t>
      </w:r>
      <w:r>
        <w:t xml:space="preserve">. </w:t>
      </w:r>
      <w:r w:rsidR="0076657E">
        <w:t>W populacji</w:t>
      </w:r>
      <w:r w:rsidR="0076657E" w:rsidRPr="0076657E">
        <w:t xml:space="preserve"> możliw</w:t>
      </w:r>
      <w:r w:rsidR="0076657E">
        <w:t>ej</w:t>
      </w:r>
      <w:r w:rsidR="0076657E" w:rsidRPr="0076657E">
        <w:t xml:space="preserve"> do oceny pod względem immunogenności</w:t>
      </w:r>
      <w:r w:rsidR="00446A88">
        <w:t xml:space="preserve"> (n = 4</w:t>
      </w:r>
      <w:r w:rsidR="00F002B8">
        <w:t>6</w:t>
      </w:r>
      <w:r w:rsidR="00446A88">
        <w:t>6)</w:t>
      </w:r>
      <w:r w:rsidR="0076657E">
        <w:t xml:space="preserve"> </w:t>
      </w:r>
      <w:r w:rsidR="00446A88">
        <w:t>stosunek chłopców do dziewcząt wynosił 52,8% chłopców i</w:t>
      </w:r>
      <w:r w:rsidR="000850EA">
        <w:t> </w:t>
      </w:r>
      <w:r w:rsidR="00446A88">
        <w:t xml:space="preserve">47,8% dziewcząt. </w:t>
      </w:r>
      <w:r>
        <w:t>Wyniki dotyczące serokonwersji u osób, które zostały zaszczepione i przyjęły placebo, jak również wyniki wakcynologicznego badania pomostowego, zestawiono w tabeli 4.</w:t>
      </w:r>
    </w:p>
    <w:p w14:paraId="5E85C5B7" w14:textId="77777777" w:rsidR="00E96702" w:rsidRDefault="00E96702"/>
    <w:p w14:paraId="4CFEE0AF" w14:textId="737957FD" w:rsidR="006265E3" w:rsidRDefault="006265E3">
      <w:r>
        <w:t>Długoterminowe dane dotyczące immunogenności są dostępne dla podzbioru dzieci w wieku od 12 do</w:t>
      </w:r>
      <w:r w:rsidR="005748A4">
        <w:t xml:space="preserve"> &lt;</w:t>
      </w:r>
      <w:r w:rsidR="000850EA">
        <w:t> </w:t>
      </w:r>
      <w:r w:rsidR="005748A4">
        <w:t>18 lat. Zakres wskaźnika serokonwersji wyniósł od 100% w</w:t>
      </w:r>
      <w:r w:rsidR="000850EA">
        <w:t> </w:t>
      </w:r>
      <w:r w:rsidR="005748A4">
        <w:t>28. dniu po szczepieniu do 64,5% w</w:t>
      </w:r>
      <w:r w:rsidR="000850EA">
        <w:t> </w:t>
      </w:r>
      <w:r w:rsidR="005748A4">
        <w:t xml:space="preserve">729. dniu po szczepieniu. </w:t>
      </w:r>
      <w:r w:rsidR="00D843C1" w:rsidRPr="00D843C1">
        <w:t xml:space="preserve">Wyniki dotyczące </w:t>
      </w:r>
      <w:r w:rsidR="00D843C1">
        <w:t>serokonwersji w</w:t>
      </w:r>
      <w:r w:rsidR="000850EA">
        <w:t> </w:t>
      </w:r>
      <w:r w:rsidR="00D843C1">
        <w:t>czasie zestawiono w tabeli 5.</w:t>
      </w:r>
    </w:p>
    <w:p w14:paraId="68FE864B" w14:textId="07BD5E31" w:rsidR="00E96702" w:rsidRDefault="0095540B" w:rsidP="00EC4F10">
      <w:pPr>
        <w:pStyle w:val="TableTitle"/>
        <w:ind w:left="851" w:hanging="851"/>
        <w:outlineLvl w:val="9"/>
      </w:pPr>
      <w:r>
        <w:lastRenderedPageBreak/>
        <w:t xml:space="preserve">Tabela 4: Serokonwersja przeciwciał bójczych skierowanych przeciwko szczepowi </w:t>
      </w:r>
      <w:r>
        <w:rPr>
          <w:rStyle w:val="Emphasis"/>
        </w:rPr>
        <w:t>V</w:t>
      </w:r>
      <w:r w:rsidR="00381852">
        <w:rPr>
          <w:rStyle w:val="Emphasis"/>
        </w:rPr>
        <w:t>ibrio</w:t>
      </w:r>
      <w:r>
        <w:t> </w:t>
      </w:r>
      <w:r>
        <w:rPr>
          <w:rStyle w:val="Emphasis"/>
        </w:rPr>
        <w:t>cholerae</w:t>
      </w:r>
      <w:r>
        <w:t xml:space="preserve"> Inaba, biotyp klasyczny, w szczepionce po upływie 10 dni od szczepienia u dzieci</w:t>
      </w:r>
      <w:r w:rsidR="00904443">
        <w:t xml:space="preserve"> [</w:t>
      </w:r>
      <w:r w:rsidR="00904443" w:rsidRPr="00904443">
        <w:t>populacja możliwa do oceny pod względem immunogenności</w:t>
      </w:r>
      <w:r w:rsidR="00904443">
        <w:t>]</w:t>
      </w:r>
    </w:p>
    <w:p w14:paraId="0772DA98" w14:textId="77777777" w:rsidR="00E96702" w:rsidRDefault="00E96702">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520"/>
        <w:gridCol w:w="637"/>
        <w:gridCol w:w="1762"/>
        <w:gridCol w:w="919"/>
        <w:gridCol w:w="1586"/>
        <w:gridCol w:w="2633"/>
      </w:tblGrid>
      <w:tr w:rsidR="00E96702" w:rsidRPr="007946B9" w14:paraId="40F19485" w14:textId="77777777">
        <w:tc>
          <w:tcPr>
            <w:tcW w:w="1625" w:type="dxa"/>
            <w:tcBorders>
              <w:top w:val="single" w:sz="12" w:space="0" w:color="auto"/>
              <w:left w:val="single" w:sz="12" w:space="0" w:color="auto"/>
              <w:bottom w:val="nil"/>
              <w:right w:val="nil"/>
            </w:tcBorders>
            <w:vAlign w:val="bottom"/>
          </w:tcPr>
          <w:p w14:paraId="5C38A98C" w14:textId="77777777" w:rsidR="00E96702" w:rsidRPr="00504ECA" w:rsidRDefault="0095540B">
            <w:pPr>
              <w:pStyle w:val="Normal10pt0"/>
              <w:keepNext/>
              <w:jc w:val="center"/>
              <w:rPr>
                <w:rStyle w:val="Strong"/>
                <w:sz w:val="22"/>
                <w:szCs w:val="24"/>
              </w:rPr>
            </w:pPr>
            <w:r w:rsidRPr="00A13F2C">
              <w:rPr>
                <w:rStyle w:val="Strong"/>
                <w:sz w:val="22"/>
                <w:szCs w:val="24"/>
              </w:rPr>
              <w:t>Badanie</w:t>
            </w:r>
          </w:p>
        </w:tc>
        <w:tc>
          <w:tcPr>
            <w:tcW w:w="2569" w:type="dxa"/>
            <w:gridSpan w:val="2"/>
            <w:tcBorders>
              <w:top w:val="single" w:sz="12" w:space="0" w:color="auto"/>
              <w:left w:val="nil"/>
              <w:bottom w:val="nil"/>
              <w:right w:val="nil"/>
            </w:tcBorders>
            <w:vAlign w:val="bottom"/>
          </w:tcPr>
          <w:p w14:paraId="04CD3FC6" w14:textId="77777777" w:rsidR="00E96702" w:rsidRPr="00A13F2C" w:rsidRDefault="0095540B">
            <w:pPr>
              <w:pStyle w:val="Normal10pt0"/>
              <w:keepNext/>
              <w:jc w:val="center"/>
              <w:rPr>
                <w:rStyle w:val="Strong"/>
                <w:sz w:val="22"/>
                <w:szCs w:val="24"/>
              </w:rPr>
            </w:pPr>
            <w:r w:rsidRPr="00A13F2C">
              <w:rPr>
                <w:rStyle w:val="Strong"/>
                <w:sz w:val="22"/>
                <w:szCs w:val="24"/>
              </w:rPr>
              <w:t>Osoby, które przyjęły produkt leczniczy Vaxchora</w:t>
            </w:r>
          </w:p>
        </w:tc>
        <w:tc>
          <w:tcPr>
            <w:tcW w:w="1745" w:type="dxa"/>
            <w:gridSpan w:val="2"/>
            <w:tcBorders>
              <w:top w:val="single" w:sz="12" w:space="0" w:color="auto"/>
              <w:left w:val="nil"/>
              <w:bottom w:val="nil"/>
              <w:right w:val="nil"/>
            </w:tcBorders>
            <w:vAlign w:val="bottom"/>
          </w:tcPr>
          <w:p w14:paraId="51142F39" w14:textId="77777777" w:rsidR="00E96702" w:rsidRPr="00A13F2C" w:rsidRDefault="0095540B">
            <w:pPr>
              <w:pStyle w:val="Normal10pt0"/>
              <w:keepNext/>
              <w:jc w:val="center"/>
              <w:rPr>
                <w:rStyle w:val="Strong"/>
                <w:sz w:val="22"/>
                <w:szCs w:val="24"/>
              </w:rPr>
            </w:pPr>
            <w:r w:rsidRPr="00A13F2C">
              <w:rPr>
                <w:rStyle w:val="Strong"/>
                <w:sz w:val="22"/>
                <w:szCs w:val="24"/>
              </w:rPr>
              <w:t>Osoby, które przyjęły placebo</w:t>
            </w:r>
          </w:p>
        </w:tc>
        <w:tc>
          <w:tcPr>
            <w:tcW w:w="3118" w:type="dxa"/>
            <w:tcBorders>
              <w:top w:val="single" w:sz="12" w:space="0" w:color="auto"/>
              <w:left w:val="nil"/>
              <w:bottom w:val="nil"/>
              <w:right w:val="single" w:sz="12" w:space="0" w:color="auto"/>
            </w:tcBorders>
            <w:vAlign w:val="bottom"/>
          </w:tcPr>
          <w:p w14:paraId="0E648290" w14:textId="713869E4" w:rsidR="00E96702" w:rsidRPr="00A13F2C" w:rsidRDefault="0095540B">
            <w:pPr>
              <w:pStyle w:val="Normal10pt0"/>
              <w:keepNext/>
              <w:jc w:val="center"/>
              <w:rPr>
                <w:rStyle w:val="Strong"/>
                <w:sz w:val="22"/>
                <w:szCs w:val="24"/>
              </w:rPr>
            </w:pPr>
            <w:r w:rsidRPr="00A13F2C">
              <w:rPr>
                <w:rStyle w:val="Strong"/>
                <w:sz w:val="22"/>
                <w:szCs w:val="24"/>
              </w:rPr>
              <w:t>Wakcynologiczne badanie pomostowe: różnica wskaźnika serokonwersji w porównaniu z dorosłymi w wieku 18</w:t>
            </w:r>
            <w:r w:rsidRPr="00A13F2C">
              <w:rPr>
                <w:rStyle w:val="Strong"/>
                <w:sz w:val="22"/>
                <w:szCs w:val="24"/>
              </w:rPr>
              <w:noBreakHyphen/>
              <w:t>45 lat uczestniczącymi w badaniu</w:t>
            </w:r>
            <w:r w:rsidR="00381852" w:rsidRPr="00A13F2C">
              <w:rPr>
                <w:rStyle w:val="Strong"/>
                <w:sz w:val="22"/>
                <w:szCs w:val="24"/>
              </w:rPr>
              <w:t> 3</w:t>
            </w:r>
          </w:p>
        </w:tc>
      </w:tr>
      <w:tr w:rsidR="00E96702" w:rsidRPr="007946B9" w14:paraId="786AF8FD" w14:textId="77777777">
        <w:tc>
          <w:tcPr>
            <w:tcW w:w="1625" w:type="dxa"/>
            <w:tcBorders>
              <w:top w:val="nil"/>
              <w:left w:val="single" w:sz="12" w:space="0" w:color="auto"/>
              <w:bottom w:val="single" w:sz="12" w:space="0" w:color="auto"/>
              <w:right w:val="nil"/>
            </w:tcBorders>
            <w:vAlign w:val="bottom"/>
          </w:tcPr>
          <w:p w14:paraId="0EDB93BA" w14:textId="77777777" w:rsidR="00E96702" w:rsidRPr="00A13F2C" w:rsidRDefault="0095540B">
            <w:pPr>
              <w:pStyle w:val="Normal10pt0"/>
              <w:keepNext/>
              <w:jc w:val="center"/>
              <w:rPr>
                <w:sz w:val="22"/>
                <w:szCs w:val="24"/>
              </w:rPr>
            </w:pPr>
            <w:r w:rsidRPr="00A13F2C">
              <w:rPr>
                <w:sz w:val="22"/>
                <w:szCs w:val="24"/>
              </w:rPr>
              <w:t>(wiek w latach)</w:t>
            </w:r>
          </w:p>
        </w:tc>
        <w:tc>
          <w:tcPr>
            <w:tcW w:w="694" w:type="dxa"/>
            <w:tcBorders>
              <w:top w:val="nil"/>
              <w:left w:val="nil"/>
              <w:bottom w:val="single" w:sz="12" w:space="0" w:color="auto"/>
              <w:right w:val="nil"/>
            </w:tcBorders>
            <w:vAlign w:val="bottom"/>
          </w:tcPr>
          <w:p w14:paraId="18BEFF25" w14:textId="77777777" w:rsidR="00E96702" w:rsidRPr="00A13F2C" w:rsidRDefault="0095540B">
            <w:pPr>
              <w:pStyle w:val="Normal10pt0"/>
              <w:keepNext/>
              <w:jc w:val="center"/>
              <w:rPr>
                <w:sz w:val="22"/>
                <w:szCs w:val="24"/>
              </w:rPr>
            </w:pPr>
            <w:r w:rsidRPr="00A13F2C">
              <w:rPr>
                <w:sz w:val="22"/>
                <w:szCs w:val="24"/>
              </w:rPr>
              <w:t>N</w:t>
            </w:r>
            <w:r w:rsidRPr="00A13F2C">
              <w:rPr>
                <w:rStyle w:val="Superscript"/>
                <w:sz w:val="22"/>
                <w:szCs w:val="24"/>
              </w:rPr>
              <w:t>b</w:t>
            </w:r>
          </w:p>
        </w:tc>
        <w:tc>
          <w:tcPr>
            <w:tcW w:w="1875" w:type="dxa"/>
            <w:tcBorders>
              <w:top w:val="nil"/>
              <w:left w:val="nil"/>
              <w:bottom w:val="single" w:sz="12" w:space="0" w:color="auto"/>
              <w:right w:val="nil"/>
            </w:tcBorders>
            <w:vAlign w:val="bottom"/>
          </w:tcPr>
          <w:p w14:paraId="724EE73C" w14:textId="77777777" w:rsidR="00E96702" w:rsidRPr="00A13F2C" w:rsidRDefault="0095540B">
            <w:pPr>
              <w:pStyle w:val="Normal10pt0"/>
              <w:keepNext/>
              <w:jc w:val="center"/>
              <w:rPr>
                <w:sz w:val="22"/>
                <w:szCs w:val="24"/>
              </w:rPr>
            </w:pPr>
            <w:r w:rsidRPr="00A13F2C">
              <w:rPr>
                <w:sz w:val="22"/>
                <w:szCs w:val="24"/>
              </w:rPr>
              <w:t>Serokonwersja</w:t>
            </w:r>
            <w:r w:rsidRPr="00A13F2C">
              <w:rPr>
                <w:rStyle w:val="Superscript"/>
                <w:sz w:val="22"/>
                <w:szCs w:val="24"/>
              </w:rPr>
              <w:t>a</w:t>
            </w:r>
          </w:p>
          <w:p w14:paraId="5809DCDC" w14:textId="77777777" w:rsidR="00E96702" w:rsidRPr="00A13F2C" w:rsidRDefault="0095540B">
            <w:pPr>
              <w:pStyle w:val="Normal10pt0"/>
              <w:keepNext/>
              <w:jc w:val="center"/>
              <w:rPr>
                <w:sz w:val="22"/>
                <w:szCs w:val="24"/>
              </w:rPr>
            </w:pPr>
            <w:r w:rsidRPr="00A13F2C">
              <w:rPr>
                <w:sz w:val="22"/>
                <w:szCs w:val="24"/>
              </w:rPr>
              <w:t>%</w:t>
            </w:r>
          </w:p>
          <w:p w14:paraId="0D6ACBB3" w14:textId="77777777" w:rsidR="00E96702" w:rsidRPr="00A13F2C" w:rsidRDefault="0095540B">
            <w:pPr>
              <w:pStyle w:val="Normal10pt0"/>
              <w:keepNext/>
              <w:jc w:val="center"/>
              <w:rPr>
                <w:sz w:val="22"/>
                <w:szCs w:val="24"/>
              </w:rPr>
            </w:pPr>
            <w:r w:rsidRPr="00A13F2C">
              <w:rPr>
                <w:sz w:val="22"/>
                <w:szCs w:val="24"/>
              </w:rPr>
              <w:t xml:space="preserve">[CI </w:t>
            </w:r>
            <w:r w:rsidR="00996594" w:rsidRPr="00A13F2C">
              <w:rPr>
                <w:sz w:val="22"/>
                <w:szCs w:val="24"/>
              </w:rPr>
              <w:t>98,3</w:t>
            </w:r>
            <w:r w:rsidRPr="00A13F2C">
              <w:rPr>
                <w:sz w:val="22"/>
                <w:szCs w:val="24"/>
              </w:rPr>
              <w:t>%]</w:t>
            </w:r>
          </w:p>
        </w:tc>
        <w:tc>
          <w:tcPr>
            <w:tcW w:w="1222" w:type="dxa"/>
            <w:tcBorders>
              <w:top w:val="nil"/>
              <w:left w:val="nil"/>
              <w:bottom w:val="single" w:sz="12" w:space="0" w:color="auto"/>
              <w:right w:val="nil"/>
            </w:tcBorders>
            <w:vAlign w:val="bottom"/>
          </w:tcPr>
          <w:p w14:paraId="55155B75" w14:textId="77777777" w:rsidR="00E96702" w:rsidRPr="00A13F2C" w:rsidRDefault="0095540B">
            <w:pPr>
              <w:pStyle w:val="Normal10pt0"/>
              <w:keepNext/>
              <w:jc w:val="center"/>
              <w:rPr>
                <w:sz w:val="22"/>
                <w:szCs w:val="24"/>
              </w:rPr>
            </w:pPr>
            <w:r w:rsidRPr="00A13F2C">
              <w:rPr>
                <w:sz w:val="22"/>
                <w:szCs w:val="24"/>
              </w:rPr>
              <w:t>N</w:t>
            </w:r>
            <w:r w:rsidRPr="00A13F2C">
              <w:rPr>
                <w:rStyle w:val="Superscript"/>
                <w:sz w:val="22"/>
                <w:szCs w:val="24"/>
              </w:rPr>
              <w:t>b</w:t>
            </w:r>
          </w:p>
        </w:tc>
        <w:tc>
          <w:tcPr>
            <w:tcW w:w="523" w:type="dxa"/>
            <w:tcBorders>
              <w:top w:val="nil"/>
              <w:left w:val="nil"/>
              <w:bottom w:val="single" w:sz="12" w:space="0" w:color="auto"/>
              <w:right w:val="nil"/>
            </w:tcBorders>
            <w:vAlign w:val="bottom"/>
          </w:tcPr>
          <w:p w14:paraId="2F6271A5" w14:textId="77777777" w:rsidR="00E96702" w:rsidRPr="00A13F2C" w:rsidRDefault="0095540B">
            <w:pPr>
              <w:pStyle w:val="Normal10pt0"/>
              <w:keepNext/>
              <w:jc w:val="center"/>
              <w:rPr>
                <w:sz w:val="22"/>
                <w:szCs w:val="24"/>
              </w:rPr>
            </w:pPr>
            <w:r w:rsidRPr="00A13F2C">
              <w:rPr>
                <w:sz w:val="22"/>
                <w:szCs w:val="24"/>
              </w:rPr>
              <w:t>Serokonwersja</w:t>
            </w:r>
            <w:r w:rsidRPr="00A13F2C">
              <w:rPr>
                <w:rStyle w:val="Superscript"/>
                <w:sz w:val="22"/>
                <w:szCs w:val="24"/>
              </w:rPr>
              <w:t>a</w:t>
            </w:r>
          </w:p>
          <w:p w14:paraId="6EAE8E1F" w14:textId="77777777" w:rsidR="00E96702" w:rsidRPr="00A13F2C" w:rsidRDefault="0095540B">
            <w:pPr>
              <w:pStyle w:val="Normal10pt0"/>
              <w:keepNext/>
              <w:jc w:val="center"/>
              <w:rPr>
                <w:sz w:val="22"/>
                <w:szCs w:val="24"/>
              </w:rPr>
            </w:pPr>
            <w:r w:rsidRPr="00A13F2C">
              <w:rPr>
                <w:sz w:val="22"/>
                <w:szCs w:val="24"/>
              </w:rPr>
              <w:t>%</w:t>
            </w:r>
          </w:p>
          <w:p w14:paraId="398F2A88" w14:textId="77777777" w:rsidR="00E96702" w:rsidRPr="00A13F2C" w:rsidRDefault="0095540B">
            <w:pPr>
              <w:pStyle w:val="Normal10pt0"/>
              <w:keepNext/>
              <w:jc w:val="center"/>
              <w:rPr>
                <w:sz w:val="22"/>
                <w:szCs w:val="24"/>
              </w:rPr>
            </w:pPr>
            <w:r w:rsidRPr="00A13F2C">
              <w:rPr>
                <w:sz w:val="22"/>
                <w:szCs w:val="24"/>
              </w:rPr>
              <w:t>[CI</w:t>
            </w:r>
            <w:r w:rsidRPr="00A13F2C">
              <w:rPr>
                <w:rStyle w:val="Superscript"/>
                <w:sz w:val="22"/>
                <w:szCs w:val="24"/>
              </w:rPr>
              <w:t>c</w:t>
            </w:r>
            <w:r w:rsidRPr="00A13F2C">
              <w:rPr>
                <w:sz w:val="22"/>
                <w:szCs w:val="24"/>
              </w:rPr>
              <w:t xml:space="preserve"> 95%]</w:t>
            </w:r>
          </w:p>
        </w:tc>
        <w:tc>
          <w:tcPr>
            <w:tcW w:w="3118" w:type="dxa"/>
            <w:tcBorders>
              <w:top w:val="nil"/>
              <w:left w:val="nil"/>
              <w:bottom w:val="single" w:sz="12" w:space="0" w:color="auto"/>
              <w:right w:val="single" w:sz="12" w:space="0" w:color="auto"/>
            </w:tcBorders>
            <w:vAlign w:val="bottom"/>
          </w:tcPr>
          <w:p w14:paraId="445F7334" w14:textId="77777777" w:rsidR="00E96702" w:rsidRPr="00A13F2C" w:rsidRDefault="0095540B">
            <w:pPr>
              <w:pStyle w:val="Normal10pt0"/>
              <w:keepNext/>
              <w:jc w:val="center"/>
              <w:rPr>
                <w:sz w:val="22"/>
                <w:szCs w:val="24"/>
              </w:rPr>
            </w:pPr>
            <w:r w:rsidRPr="00A13F2C">
              <w:rPr>
                <w:sz w:val="22"/>
                <w:szCs w:val="24"/>
              </w:rPr>
              <w:t>%</w:t>
            </w:r>
            <w:r w:rsidRPr="00A13F2C">
              <w:rPr>
                <w:rStyle w:val="Superscript"/>
                <w:sz w:val="22"/>
                <w:szCs w:val="24"/>
              </w:rPr>
              <w:t>d</w:t>
            </w:r>
          </w:p>
          <w:p w14:paraId="1CD37CE4" w14:textId="77777777" w:rsidR="00E96702" w:rsidRPr="00A13F2C" w:rsidRDefault="0095540B">
            <w:pPr>
              <w:pStyle w:val="Normal10pt0"/>
              <w:keepNext/>
              <w:jc w:val="center"/>
              <w:rPr>
                <w:sz w:val="22"/>
                <w:szCs w:val="24"/>
              </w:rPr>
            </w:pPr>
            <w:r w:rsidRPr="00A13F2C">
              <w:rPr>
                <w:sz w:val="22"/>
                <w:szCs w:val="24"/>
              </w:rPr>
              <w:t>[CI 96,7%]</w:t>
            </w:r>
          </w:p>
        </w:tc>
      </w:tr>
      <w:tr w:rsidR="00E96702" w:rsidRPr="007946B9" w14:paraId="2DCC3369" w14:textId="77777777">
        <w:tc>
          <w:tcPr>
            <w:tcW w:w="1625" w:type="dxa"/>
            <w:tcBorders>
              <w:top w:val="single" w:sz="12" w:space="0" w:color="auto"/>
              <w:left w:val="single" w:sz="12" w:space="0" w:color="auto"/>
              <w:bottom w:val="single" w:sz="12" w:space="0" w:color="auto"/>
              <w:right w:val="nil"/>
            </w:tcBorders>
          </w:tcPr>
          <w:p w14:paraId="3ADEEAA9" w14:textId="37DC3878" w:rsidR="00E96702" w:rsidRPr="00A13F2C" w:rsidRDefault="0095540B">
            <w:pPr>
              <w:pStyle w:val="Normal10pt0"/>
              <w:keepNext/>
              <w:jc w:val="center"/>
              <w:rPr>
                <w:sz w:val="22"/>
                <w:szCs w:val="24"/>
              </w:rPr>
            </w:pPr>
            <w:r w:rsidRPr="00A13F2C">
              <w:rPr>
                <w:sz w:val="22"/>
                <w:szCs w:val="24"/>
              </w:rPr>
              <w:t xml:space="preserve">Badanie z udziałem dzieci </w:t>
            </w:r>
            <w:r w:rsidR="00381852" w:rsidRPr="00A13F2C">
              <w:rPr>
                <w:sz w:val="22"/>
                <w:szCs w:val="24"/>
              </w:rPr>
              <w:t xml:space="preserve">(badanie 5) </w:t>
            </w:r>
            <w:r w:rsidRPr="00A13F2C">
              <w:rPr>
                <w:sz w:val="22"/>
                <w:szCs w:val="24"/>
              </w:rPr>
              <w:t>(</w:t>
            </w:r>
            <w:r w:rsidR="00996594" w:rsidRPr="00A13F2C">
              <w:rPr>
                <w:sz w:val="22"/>
                <w:szCs w:val="24"/>
              </w:rPr>
              <w:t>2 </w:t>
            </w:r>
            <w:r w:rsidRPr="00A13F2C">
              <w:rPr>
                <w:sz w:val="22"/>
                <w:szCs w:val="24"/>
              </w:rPr>
              <w:t>–</w:t>
            </w:r>
            <w:r w:rsidR="00996594" w:rsidRPr="00A13F2C">
              <w:rPr>
                <w:sz w:val="22"/>
                <w:szCs w:val="24"/>
              </w:rPr>
              <w:t> &lt;</w:t>
            </w:r>
            <w:r w:rsidR="000850EA">
              <w:rPr>
                <w:sz w:val="22"/>
                <w:szCs w:val="24"/>
              </w:rPr>
              <w:t> </w:t>
            </w:r>
            <w:r w:rsidR="00996594" w:rsidRPr="00A13F2C">
              <w:rPr>
                <w:sz w:val="22"/>
                <w:szCs w:val="24"/>
              </w:rPr>
              <w:t>18</w:t>
            </w:r>
            <w:r w:rsidRPr="00A13F2C">
              <w:rPr>
                <w:sz w:val="22"/>
                <w:szCs w:val="24"/>
              </w:rPr>
              <w:t>)</w:t>
            </w:r>
          </w:p>
        </w:tc>
        <w:tc>
          <w:tcPr>
            <w:tcW w:w="694" w:type="dxa"/>
            <w:tcBorders>
              <w:top w:val="single" w:sz="12" w:space="0" w:color="auto"/>
              <w:left w:val="nil"/>
              <w:bottom w:val="single" w:sz="12" w:space="0" w:color="auto"/>
              <w:right w:val="nil"/>
            </w:tcBorders>
          </w:tcPr>
          <w:p w14:paraId="14DD2CD7" w14:textId="77777777" w:rsidR="00E96702" w:rsidRPr="00A13F2C" w:rsidRDefault="00996594">
            <w:pPr>
              <w:pStyle w:val="Normal10pt0"/>
              <w:keepNext/>
              <w:jc w:val="center"/>
              <w:rPr>
                <w:sz w:val="22"/>
                <w:szCs w:val="24"/>
              </w:rPr>
            </w:pPr>
            <w:r w:rsidRPr="00A13F2C">
              <w:rPr>
                <w:sz w:val="22"/>
                <w:szCs w:val="24"/>
              </w:rPr>
              <w:t>399</w:t>
            </w:r>
          </w:p>
        </w:tc>
        <w:tc>
          <w:tcPr>
            <w:tcW w:w="1875" w:type="dxa"/>
            <w:tcBorders>
              <w:top w:val="single" w:sz="12" w:space="0" w:color="auto"/>
              <w:left w:val="nil"/>
              <w:bottom w:val="single" w:sz="12" w:space="0" w:color="auto"/>
              <w:right w:val="nil"/>
            </w:tcBorders>
          </w:tcPr>
          <w:p w14:paraId="040DE69C" w14:textId="77777777" w:rsidR="00E96702" w:rsidRPr="00A13F2C" w:rsidRDefault="0095540B">
            <w:pPr>
              <w:pStyle w:val="Normal10pt0"/>
              <w:keepNext/>
              <w:jc w:val="center"/>
              <w:rPr>
                <w:sz w:val="22"/>
                <w:szCs w:val="24"/>
              </w:rPr>
            </w:pPr>
            <w:r w:rsidRPr="00A13F2C">
              <w:rPr>
                <w:sz w:val="22"/>
                <w:szCs w:val="24"/>
              </w:rPr>
              <w:t>98,</w:t>
            </w:r>
            <w:r w:rsidR="00996594" w:rsidRPr="00A13F2C">
              <w:rPr>
                <w:sz w:val="22"/>
                <w:szCs w:val="24"/>
              </w:rPr>
              <w:t>5</w:t>
            </w:r>
            <w:r w:rsidRPr="00A13F2C">
              <w:rPr>
                <w:sz w:val="22"/>
                <w:szCs w:val="24"/>
              </w:rPr>
              <w:t>%</w:t>
            </w:r>
          </w:p>
          <w:p w14:paraId="2454B27C" w14:textId="77777777" w:rsidR="00E96702" w:rsidRPr="00A13F2C" w:rsidRDefault="0095540B">
            <w:pPr>
              <w:pStyle w:val="Normal10pt0"/>
              <w:keepNext/>
              <w:jc w:val="center"/>
              <w:rPr>
                <w:sz w:val="22"/>
                <w:szCs w:val="24"/>
              </w:rPr>
            </w:pPr>
            <w:r w:rsidRPr="00A13F2C">
              <w:rPr>
                <w:sz w:val="22"/>
                <w:szCs w:val="24"/>
              </w:rPr>
              <w:t>[96,</w:t>
            </w:r>
            <w:r w:rsidR="00996594" w:rsidRPr="00A13F2C">
              <w:rPr>
                <w:sz w:val="22"/>
                <w:szCs w:val="24"/>
              </w:rPr>
              <w:t>2</w:t>
            </w:r>
            <w:r w:rsidRPr="00A13F2C">
              <w:rPr>
                <w:sz w:val="22"/>
                <w:szCs w:val="24"/>
              </w:rPr>
              <w:t>%; 99,</w:t>
            </w:r>
            <w:r w:rsidR="00996594" w:rsidRPr="00A13F2C">
              <w:rPr>
                <w:sz w:val="22"/>
                <w:szCs w:val="24"/>
              </w:rPr>
              <w:t>4</w:t>
            </w:r>
            <w:r w:rsidRPr="00A13F2C">
              <w:rPr>
                <w:sz w:val="22"/>
                <w:szCs w:val="24"/>
              </w:rPr>
              <w:t>%]</w:t>
            </w:r>
          </w:p>
        </w:tc>
        <w:tc>
          <w:tcPr>
            <w:tcW w:w="1222" w:type="dxa"/>
            <w:tcBorders>
              <w:top w:val="single" w:sz="12" w:space="0" w:color="auto"/>
              <w:left w:val="nil"/>
              <w:bottom w:val="single" w:sz="12" w:space="0" w:color="auto"/>
              <w:right w:val="nil"/>
            </w:tcBorders>
          </w:tcPr>
          <w:p w14:paraId="60500148" w14:textId="77777777" w:rsidR="00E96702" w:rsidRPr="00A13F2C" w:rsidRDefault="00996594">
            <w:pPr>
              <w:pStyle w:val="Normal10pt0"/>
              <w:keepNext/>
              <w:jc w:val="center"/>
              <w:rPr>
                <w:sz w:val="22"/>
                <w:szCs w:val="24"/>
              </w:rPr>
            </w:pPr>
            <w:r w:rsidRPr="00A13F2C">
              <w:rPr>
                <w:sz w:val="22"/>
                <w:szCs w:val="24"/>
              </w:rPr>
              <w:t>67</w:t>
            </w:r>
          </w:p>
        </w:tc>
        <w:tc>
          <w:tcPr>
            <w:tcW w:w="523" w:type="dxa"/>
            <w:tcBorders>
              <w:top w:val="single" w:sz="12" w:space="0" w:color="auto"/>
              <w:left w:val="nil"/>
              <w:bottom w:val="single" w:sz="12" w:space="0" w:color="auto"/>
              <w:right w:val="nil"/>
            </w:tcBorders>
          </w:tcPr>
          <w:p w14:paraId="784E16DF" w14:textId="77777777" w:rsidR="00E96702" w:rsidRPr="00A13F2C" w:rsidRDefault="00996594">
            <w:pPr>
              <w:pStyle w:val="Normal10pt0"/>
              <w:keepNext/>
              <w:jc w:val="center"/>
              <w:rPr>
                <w:sz w:val="22"/>
                <w:szCs w:val="24"/>
              </w:rPr>
            </w:pPr>
            <w:r w:rsidRPr="00A13F2C">
              <w:rPr>
                <w:sz w:val="22"/>
                <w:szCs w:val="24"/>
              </w:rPr>
              <w:t>1,5</w:t>
            </w:r>
            <w:r w:rsidR="0095540B" w:rsidRPr="00A13F2C">
              <w:rPr>
                <w:sz w:val="22"/>
                <w:szCs w:val="24"/>
              </w:rPr>
              <w:t>%</w:t>
            </w:r>
          </w:p>
          <w:p w14:paraId="66D0628B" w14:textId="77777777" w:rsidR="00E96702" w:rsidRPr="00A13F2C" w:rsidRDefault="0095540B">
            <w:pPr>
              <w:pStyle w:val="Normal10pt0"/>
              <w:keepNext/>
              <w:jc w:val="center"/>
              <w:rPr>
                <w:sz w:val="22"/>
                <w:szCs w:val="24"/>
              </w:rPr>
            </w:pPr>
            <w:r w:rsidRPr="00A13F2C">
              <w:rPr>
                <w:sz w:val="22"/>
                <w:szCs w:val="24"/>
              </w:rPr>
              <w:t>[0,</w:t>
            </w:r>
            <w:r w:rsidR="00996594" w:rsidRPr="00A13F2C">
              <w:rPr>
                <w:sz w:val="22"/>
                <w:szCs w:val="24"/>
              </w:rPr>
              <w:t>3</w:t>
            </w:r>
            <w:r w:rsidRPr="00A13F2C">
              <w:rPr>
                <w:sz w:val="22"/>
                <w:szCs w:val="24"/>
              </w:rPr>
              <w:t xml:space="preserve">%; </w:t>
            </w:r>
            <w:r w:rsidR="00996594" w:rsidRPr="00A13F2C">
              <w:rPr>
                <w:sz w:val="22"/>
                <w:szCs w:val="24"/>
              </w:rPr>
              <w:t>8,0</w:t>
            </w:r>
            <w:r w:rsidRPr="00A13F2C">
              <w:rPr>
                <w:sz w:val="22"/>
                <w:szCs w:val="24"/>
              </w:rPr>
              <w:t>%]</w:t>
            </w:r>
          </w:p>
        </w:tc>
        <w:tc>
          <w:tcPr>
            <w:tcW w:w="3118" w:type="dxa"/>
            <w:tcBorders>
              <w:top w:val="single" w:sz="12" w:space="0" w:color="auto"/>
              <w:left w:val="nil"/>
              <w:bottom w:val="single" w:sz="12" w:space="0" w:color="auto"/>
              <w:right w:val="single" w:sz="12" w:space="0" w:color="auto"/>
            </w:tcBorders>
          </w:tcPr>
          <w:p w14:paraId="6361604F" w14:textId="77777777" w:rsidR="00E96702" w:rsidRPr="00A13F2C" w:rsidRDefault="0095540B">
            <w:pPr>
              <w:pStyle w:val="Normal10pt0"/>
              <w:keepNext/>
              <w:jc w:val="center"/>
              <w:rPr>
                <w:sz w:val="22"/>
                <w:szCs w:val="24"/>
              </w:rPr>
            </w:pPr>
            <w:r w:rsidRPr="00A13F2C">
              <w:rPr>
                <w:sz w:val="22"/>
                <w:szCs w:val="24"/>
              </w:rPr>
              <w:t>5,</w:t>
            </w:r>
            <w:r w:rsidR="00996594" w:rsidRPr="00A13F2C">
              <w:rPr>
                <w:sz w:val="22"/>
                <w:szCs w:val="24"/>
              </w:rPr>
              <w:t>0</w:t>
            </w:r>
            <w:r w:rsidRPr="00A13F2C">
              <w:rPr>
                <w:sz w:val="22"/>
                <w:szCs w:val="24"/>
              </w:rPr>
              <w:t>%</w:t>
            </w:r>
          </w:p>
          <w:p w14:paraId="29B8B388" w14:textId="77777777" w:rsidR="00E96702" w:rsidRPr="00A13F2C" w:rsidRDefault="0095540B">
            <w:pPr>
              <w:pStyle w:val="Normal10pt0"/>
              <w:keepNext/>
              <w:jc w:val="center"/>
              <w:rPr>
                <w:sz w:val="22"/>
                <w:szCs w:val="24"/>
              </w:rPr>
            </w:pPr>
            <w:r w:rsidRPr="00A13F2C">
              <w:rPr>
                <w:sz w:val="22"/>
                <w:szCs w:val="24"/>
              </w:rPr>
              <w:t>[2,</w:t>
            </w:r>
            <w:r w:rsidR="00996594" w:rsidRPr="00A13F2C">
              <w:rPr>
                <w:sz w:val="22"/>
                <w:szCs w:val="24"/>
              </w:rPr>
              <w:t>8</w:t>
            </w:r>
            <w:r w:rsidRPr="00A13F2C">
              <w:rPr>
                <w:sz w:val="22"/>
                <w:szCs w:val="24"/>
              </w:rPr>
              <w:t>%; 6,</w:t>
            </w:r>
            <w:r w:rsidR="00996594" w:rsidRPr="00A13F2C">
              <w:rPr>
                <w:sz w:val="22"/>
                <w:szCs w:val="24"/>
              </w:rPr>
              <w:t>4</w:t>
            </w:r>
            <w:r w:rsidRPr="00A13F2C">
              <w:rPr>
                <w:sz w:val="22"/>
                <w:szCs w:val="24"/>
              </w:rPr>
              <w:t>%]</w:t>
            </w:r>
            <w:r w:rsidRPr="00A13F2C">
              <w:rPr>
                <w:rStyle w:val="Superscript"/>
                <w:sz w:val="22"/>
                <w:szCs w:val="24"/>
              </w:rPr>
              <w:t>c</w:t>
            </w:r>
          </w:p>
        </w:tc>
      </w:tr>
    </w:tbl>
    <w:p w14:paraId="0DDD162B" w14:textId="34D20F97" w:rsidR="00E96702" w:rsidRDefault="0095540B" w:rsidP="000850EA">
      <w:pPr>
        <w:pStyle w:val="Normal10pt0"/>
        <w:keepNext/>
        <w:ind w:left="284" w:hanging="284"/>
      </w:pPr>
      <w:r>
        <w:rPr>
          <w:rStyle w:val="Superscript"/>
        </w:rPr>
        <w:t>a</w:t>
      </w:r>
      <w:r w:rsidR="000850EA">
        <w:rPr>
          <w:rStyle w:val="Superscript"/>
        </w:rPr>
        <w:tab/>
      </w:r>
      <w:r>
        <w:t>Serokonwersję zdefiniowano jako odsetek uczestników badania, u których wystąpił co najmniej 4</w:t>
      </w:r>
      <w:r>
        <w:noBreakHyphen/>
        <w:t>krotny wzrost miana przeciwciał bójczych wobec przecinkowca po upływie 10 dni od szczepienia względem wartości wyjściowej.</w:t>
      </w:r>
    </w:p>
    <w:p w14:paraId="75A82CFC" w14:textId="77B7D366" w:rsidR="00E96702" w:rsidRDefault="0095540B" w:rsidP="000850EA">
      <w:pPr>
        <w:pStyle w:val="Normal10pt0"/>
        <w:keepNext/>
        <w:ind w:left="284" w:hanging="284"/>
      </w:pPr>
      <w:r>
        <w:rPr>
          <w:rStyle w:val="Superscript"/>
        </w:rPr>
        <w:t>b</w:t>
      </w:r>
      <w:r w:rsidR="000850EA">
        <w:tab/>
      </w:r>
      <w:r>
        <w:t>N = liczba uczestników badania, od których pobrano nadające się do analizy próbki w 1. i 11. dniu badania.</w:t>
      </w:r>
    </w:p>
    <w:p w14:paraId="4FD2B6AF" w14:textId="4649D406" w:rsidR="00E96702" w:rsidRDefault="0095540B" w:rsidP="000850EA">
      <w:pPr>
        <w:pStyle w:val="Normal10pt0"/>
        <w:keepNext/>
        <w:ind w:left="284" w:hanging="284"/>
      </w:pPr>
      <w:r>
        <w:rPr>
          <w:rStyle w:val="Superscript"/>
        </w:rPr>
        <w:t>c</w:t>
      </w:r>
      <w:r w:rsidR="000850EA">
        <w:tab/>
      </w:r>
      <w:r>
        <w:t>CI = przedział ufności.</w:t>
      </w:r>
    </w:p>
    <w:p w14:paraId="61B72A38" w14:textId="1C433FD9" w:rsidR="00E96702" w:rsidRDefault="0095540B" w:rsidP="000850EA">
      <w:pPr>
        <w:pStyle w:val="Normal10pt0"/>
        <w:ind w:left="284" w:hanging="284"/>
      </w:pPr>
      <w:r>
        <w:rPr>
          <w:rStyle w:val="Superscript"/>
        </w:rPr>
        <w:t>d</w:t>
      </w:r>
      <w:r w:rsidR="000850EA">
        <w:tab/>
      </w:r>
      <w:r>
        <w:t>Kryteria równoważności: dolna granica dwustronnego 98,3% przedziału ufności dla różnicy wskaźników serokonwersji w porównaniu z dorosłymi w wieku od 18 do &lt;</w:t>
      </w:r>
      <w:r w:rsidR="000850EA">
        <w:t> </w:t>
      </w:r>
      <w:r>
        <w:t>46 lat musiała być większa niż –10 punktów procentowych, a dolna granica dwustronnego 98,3% przedziału ufności dla odsetka osób szczepionych, u których nastąpiła serokonwersja po 10 dniach po szczepieniu, musiała wynosić co najmniej 70%.</w:t>
      </w:r>
    </w:p>
    <w:p w14:paraId="4ADB8D98" w14:textId="77777777" w:rsidR="00D51BF3" w:rsidRDefault="00D51BF3">
      <w:pPr>
        <w:pStyle w:val="Normal10pt0"/>
      </w:pPr>
    </w:p>
    <w:p w14:paraId="63D3E598" w14:textId="5AF53096" w:rsidR="00D51BF3" w:rsidRPr="00DA6878" w:rsidRDefault="00D51BF3" w:rsidP="000850EA">
      <w:pPr>
        <w:pStyle w:val="Caption"/>
        <w:keepNext/>
        <w:keepLines/>
        <w:rPr>
          <w:sz w:val="22"/>
        </w:rPr>
      </w:pPr>
      <w:r w:rsidRPr="00DA6878">
        <w:rPr>
          <w:sz w:val="22"/>
        </w:rPr>
        <w:lastRenderedPageBreak/>
        <w:t xml:space="preserve">Tabela 5: </w:t>
      </w:r>
      <w:r w:rsidR="007977CC" w:rsidRPr="00DA6878">
        <w:rPr>
          <w:sz w:val="22"/>
        </w:rPr>
        <w:t xml:space="preserve">Serokonwersja przeciwciał bójczych skierowanych przeciwko szczepowi </w:t>
      </w:r>
      <w:r w:rsidR="007977CC" w:rsidRPr="00DA6878">
        <w:rPr>
          <w:i/>
          <w:sz w:val="22"/>
        </w:rPr>
        <w:t>V</w:t>
      </w:r>
      <w:r w:rsidR="00381852">
        <w:rPr>
          <w:i/>
          <w:sz w:val="22"/>
        </w:rPr>
        <w:t>ibrio</w:t>
      </w:r>
      <w:r w:rsidR="007977CC" w:rsidRPr="00DA6878">
        <w:rPr>
          <w:i/>
          <w:sz w:val="22"/>
        </w:rPr>
        <w:t xml:space="preserve"> cholerae</w:t>
      </w:r>
      <w:r w:rsidR="007977CC" w:rsidRPr="00DA6878">
        <w:rPr>
          <w:sz w:val="22"/>
        </w:rPr>
        <w:t xml:space="preserve"> Inaba, biotyp klasyczny, w</w:t>
      </w:r>
      <w:r w:rsidR="000850EA">
        <w:rPr>
          <w:sz w:val="22"/>
        </w:rPr>
        <w:t> </w:t>
      </w:r>
      <w:r w:rsidR="007977CC" w:rsidRPr="00DA6878">
        <w:rPr>
          <w:sz w:val="22"/>
        </w:rPr>
        <w:t>szczepionce po upływie od 10 do 729 dni od szczepienia u</w:t>
      </w:r>
      <w:r w:rsidR="000850EA">
        <w:rPr>
          <w:sz w:val="22"/>
        </w:rPr>
        <w:t> </w:t>
      </w:r>
      <w:r w:rsidR="007977CC" w:rsidRPr="00DA6878">
        <w:rPr>
          <w:sz w:val="22"/>
        </w:rPr>
        <w:t>dzieci w wieku od 12 do &lt;</w:t>
      </w:r>
      <w:r w:rsidR="000850EA">
        <w:rPr>
          <w:sz w:val="22"/>
        </w:rPr>
        <w:t> </w:t>
      </w:r>
      <w:r w:rsidR="007977CC" w:rsidRPr="00DA6878">
        <w:rPr>
          <w:sz w:val="22"/>
        </w:rPr>
        <w:t xml:space="preserve">18 lat [populacja możliwa do oceny pod względem immunogenności w długoterminowym </w:t>
      </w:r>
      <w:r w:rsidR="008333DF" w:rsidRPr="00DA6878">
        <w:rPr>
          <w:sz w:val="22"/>
        </w:rPr>
        <w:t xml:space="preserve">kontrolnym </w:t>
      </w:r>
      <w:r w:rsidR="007977CC" w:rsidRPr="00DA6878">
        <w:rPr>
          <w:sz w:val="22"/>
        </w:rPr>
        <w:t xml:space="preserve">badaniu </w:t>
      </w:r>
      <w:r w:rsidR="008333DF" w:rsidRPr="00DA6878">
        <w:rPr>
          <w:sz w:val="22"/>
        </w:rPr>
        <w:t>dodatkowym</w:t>
      </w:r>
      <w:r w:rsidR="007977CC" w:rsidRPr="00DA6878">
        <w:rPr>
          <w:sz w:val="22"/>
        </w:rPr>
        <w:t>]</w:t>
      </w:r>
    </w:p>
    <w:p w14:paraId="531BEF34" w14:textId="77777777" w:rsidR="00D51BF3" w:rsidRPr="002D627B" w:rsidRDefault="00D51BF3" w:rsidP="00DA6878">
      <w:pPr>
        <w:keepNext/>
        <w:keepLines/>
      </w:pPr>
    </w:p>
    <w:tbl>
      <w:tblPr>
        <w:tblW w:w="6555" w:type="dxa"/>
        <w:tblLayout w:type="fixed"/>
        <w:tblLook w:val="04A0" w:firstRow="1" w:lastRow="0" w:firstColumn="1" w:lastColumn="0" w:noHBand="0" w:noVBand="1"/>
      </w:tblPr>
      <w:tblGrid>
        <w:gridCol w:w="2415"/>
        <w:gridCol w:w="1530"/>
        <w:gridCol w:w="2610"/>
      </w:tblGrid>
      <w:tr w:rsidR="00D51BF3" w:rsidRPr="00282A22" w14:paraId="6F5BD839" w14:textId="77777777" w:rsidTr="00DA6878">
        <w:trPr>
          <w:trHeight w:val="603"/>
        </w:trPr>
        <w:tc>
          <w:tcPr>
            <w:tcW w:w="2415" w:type="dxa"/>
            <w:tcBorders>
              <w:top w:val="single" w:sz="4" w:space="0" w:color="auto"/>
              <w:left w:val="single" w:sz="4" w:space="0" w:color="auto"/>
              <w:bottom w:val="single" w:sz="4" w:space="0" w:color="auto"/>
            </w:tcBorders>
            <w:vAlign w:val="bottom"/>
          </w:tcPr>
          <w:p w14:paraId="71B488D0" w14:textId="526EC881" w:rsidR="00D51BF3" w:rsidRPr="00A13F2C" w:rsidRDefault="00661EAE" w:rsidP="00DA6878">
            <w:pPr>
              <w:pStyle w:val="ParaText"/>
              <w:keepNext/>
              <w:keepLines/>
              <w:spacing w:before="0" w:after="0"/>
              <w:jc w:val="center"/>
              <w:rPr>
                <w:sz w:val="22"/>
                <w:szCs w:val="22"/>
                <w:lang w:val="pl-PL"/>
              </w:rPr>
            </w:pPr>
            <w:r w:rsidRPr="00A13F2C">
              <w:rPr>
                <w:b/>
                <w:sz w:val="22"/>
                <w:szCs w:val="22"/>
                <w:lang w:val="pl-PL"/>
              </w:rPr>
              <w:t>Badanie z</w:t>
            </w:r>
            <w:r w:rsidR="000850EA">
              <w:rPr>
                <w:b/>
                <w:sz w:val="22"/>
                <w:szCs w:val="22"/>
                <w:lang w:val="pl-PL"/>
              </w:rPr>
              <w:t> </w:t>
            </w:r>
            <w:r w:rsidRPr="00A13F2C">
              <w:rPr>
                <w:b/>
                <w:sz w:val="22"/>
                <w:szCs w:val="22"/>
                <w:lang w:val="pl-PL"/>
              </w:rPr>
              <w:t>udziałem dzieci</w:t>
            </w:r>
            <w:r w:rsidR="00D51BF3" w:rsidRPr="00A13F2C">
              <w:rPr>
                <w:b/>
                <w:sz w:val="22"/>
                <w:szCs w:val="22"/>
                <w:lang w:val="pl-PL"/>
              </w:rPr>
              <w:br/>
              <w:t xml:space="preserve">(12 </w:t>
            </w:r>
            <w:r w:rsidRPr="00A13F2C">
              <w:rPr>
                <w:b/>
                <w:sz w:val="22"/>
                <w:szCs w:val="22"/>
                <w:lang w:val="pl-PL"/>
              </w:rPr>
              <w:t>–</w:t>
            </w:r>
            <w:r w:rsidR="00D51BF3" w:rsidRPr="00A13F2C">
              <w:rPr>
                <w:b/>
                <w:sz w:val="22"/>
                <w:szCs w:val="22"/>
                <w:lang w:val="pl-PL"/>
              </w:rPr>
              <w:t xml:space="preserve"> &lt;</w:t>
            </w:r>
            <w:r w:rsidR="000850EA">
              <w:rPr>
                <w:b/>
                <w:sz w:val="22"/>
                <w:szCs w:val="22"/>
                <w:lang w:val="pl-PL"/>
              </w:rPr>
              <w:t> </w:t>
            </w:r>
            <w:r w:rsidR="00D51BF3" w:rsidRPr="00A13F2C">
              <w:rPr>
                <w:b/>
                <w:sz w:val="22"/>
                <w:szCs w:val="22"/>
                <w:lang w:val="pl-PL"/>
              </w:rPr>
              <w:t>18</w:t>
            </w:r>
            <w:r w:rsidRPr="00A13F2C">
              <w:rPr>
                <w:b/>
                <w:sz w:val="22"/>
                <w:szCs w:val="22"/>
                <w:lang w:val="pl-PL"/>
              </w:rPr>
              <w:t> lat</w:t>
            </w:r>
            <w:r w:rsidR="00D51BF3" w:rsidRPr="00A13F2C">
              <w:rPr>
                <w:b/>
                <w:sz w:val="22"/>
                <w:szCs w:val="22"/>
                <w:lang w:val="pl-PL"/>
              </w:rPr>
              <w:t>)</w:t>
            </w:r>
            <w:r w:rsidR="00D51BF3" w:rsidRPr="00A13F2C">
              <w:rPr>
                <w:sz w:val="22"/>
                <w:szCs w:val="22"/>
                <w:lang w:val="pl-PL"/>
              </w:rPr>
              <w:br/>
            </w:r>
            <w:r w:rsidRPr="00A13F2C">
              <w:rPr>
                <w:sz w:val="22"/>
                <w:szCs w:val="22"/>
                <w:lang w:val="pl-PL"/>
              </w:rPr>
              <w:t>Liczba dni po szczepieniu</w:t>
            </w:r>
          </w:p>
        </w:tc>
        <w:tc>
          <w:tcPr>
            <w:tcW w:w="1530" w:type="dxa"/>
            <w:tcBorders>
              <w:top w:val="single" w:sz="4" w:space="0" w:color="auto"/>
              <w:bottom w:val="single" w:sz="4" w:space="0" w:color="auto"/>
            </w:tcBorders>
            <w:vAlign w:val="bottom"/>
          </w:tcPr>
          <w:p w14:paraId="35F1751F" w14:textId="0B55D2A5" w:rsidR="00D51BF3" w:rsidRPr="00A13F2C" w:rsidRDefault="00D51BF3" w:rsidP="00DA6878">
            <w:pPr>
              <w:pStyle w:val="ParaText"/>
              <w:keepNext/>
              <w:keepLines/>
              <w:spacing w:before="0" w:after="0"/>
              <w:jc w:val="center"/>
              <w:rPr>
                <w:b/>
                <w:sz w:val="22"/>
                <w:szCs w:val="22"/>
                <w:lang w:val="en-GB"/>
              </w:rPr>
            </w:pPr>
            <w:r w:rsidRPr="00A13F2C">
              <w:rPr>
                <w:b/>
                <w:sz w:val="22"/>
                <w:szCs w:val="22"/>
                <w:lang w:val="en-GB"/>
              </w:rPr>
              <w:t>V</w:t>
            </w:r>
            <w:r w:rsidR="00381852" w:rsidRPr="00A13F2C">
              <w:rPr>
                <w:b/>
                <w:sz w:val="22"/>
                <w:szCs w:val="22"/>
                <w:lang w:val="en-GB"/>
              </w:rPr>
              <w:t>axchora</w:t>
            </w:r>
            <w:r w:rsidRPr="00A13F2C">
              <w:rPr>
                <w:sz w:val="22"/>
                <w:szCs w:val="22"/>
                <w:lang w:val="en-GB"/>
              </w:rPr>
              <w:br/>
              <w:t>N</w:t>
            </w:r>
            <w:r w:rsidRPr="00A13F2C">
              <w:rPr>
                <w:sz w:val="22"/>
                <w:szCs w:val="22"/>
                <w:vertAlign w:val="superscript"/>
                <w:lang w:val="en-GB"/>
              </w:rPr>
              <w:t>b</w:t>
            </w:r>
          </w:p>
        </w:tc>
        <w:tc>
          <w:tcPr>
            <w:tcW w:w="2610" w:type="dxa"/>
            <w:tcBorders>
              <w:top w:val="single" w:sz="4" w:space="0" w:color="auto"/>
              <w:bottom w:val="single" w:sz="4" w:space="0" w:color="auto"/>
              <w:right w:val="single" w:sz="4" w:space="0" w:color="auto"/>
            </w:tcBorders>
            <w:vAlign w:val="bottom"/>
          </w:tcPr>
          <w:p w14:paraId="0B26ECEC" w14:textId="767EC9D9" w:rsidR="00D51BF3" w:rsidRPr="00A13F2C" w:rsidRDefault="00D51BF3" w:rsidP="00DA6878">
            <w:pPr>
              <w:pStyle w:val="ParaText"/>
              <w:keepNext/>
              <w:keepLines/>
              <w:spacing w:before="0" w:after="0"/>
              <w:jc w:val="center"/>
              <w:rPr>
                <w:b/>
                <w:sz w:val="22"/>
                <w:szCs w:val="22"/>
                <w:lang w:val="en-GB"/>
              </w:rPr>
            </w:pPr>
            <w:r w:rsidRPr="00A13F2C">
              <w:rPr>
                <w:b/>
                <w:sz w:val="22"/>
                <w:szCs w:val="22"/>
                <w:lang w:val="en-GB"/>
              </w:rPr>
              <w:t>V</w:t>
            </w:r>
            <w:r w:rsidR="00381852" w:rsidRPr="00A13F2C">
              <w:rPr>
                <w:b/>
                <w:sz w:val="22"/>
                <w:szCs w:val="22"/>
                <w:lang w:val="en-GB"/>
              </w:rPr>
              <w:t>axchora</w:t>
            </w:r>
            <w:r w:rsidRPr="00A13F2C">
              <w:rPr>
                <w:b/>
                <w:sz w:val="22"/>
                <w:szCs w:val="22"/>
                <w:lang w:val="en-GB"/>
              </w:rPr>
              <w:br/>
            </w:r>
            <w:proofErr w:type="spellStart"/>
            <w:r w:rsidR="00661EAE" w:rsidRPr="00A13F2C">
              <w:rPr>
                <w:b/>
                <w:sz w:val="22"/>
                <w:szCs w:val="22"/>
                <w:lang w:val="en-GB"/>
              </w:rPr>
              <w:t>Serokonwersja</w:t>
            </w:r>
            <w:r w:rsidRPr="00A13F2C">
              <w:rPr>
                <w:sz w:val="22"/>
                <w:szCs w:val="22"/>
                <w:vertAlign w:val="superscript"/>
                <w:lang w:val="en-GB"/>
              </w:rPr>
              <w:t>a</w:t>
            </w:r>
            <w:proofErr w:type="spellEnd"/>
            <w:r w:rsidRPr="00A13F2C">
              <w:rPr>
                <w:sz w:val="22"/>
                <w:szCs w:val="22"/>
                <w:lang w:val="en-GB"/>
              </w:rPr>
              <w:br/>
              <w:t>%</w:t>
            </w:r>
            <w:r w:rsidRPr="00A13F2C">
              <w:rPr>
                <w:sz w:val="22"/>
                <w:szCs w:val="22"/>
                <w:lang w:val="en-GB"/>
              </w:rPr>
              <w:br/>
              <w:t xml:space="preserve">[95% </w:t>
            </w:r>
            <w:proofErr w:type="spellStart"/>
            <w:r w:rsidRPr="00A13F2C">
              <w:rPr>
                <w:sz w:val="22"/>
                <w:szCs w:val="22"/>
                <w:lang w:val="en-GB"/>
              </w:rPr>
              <w:t>CI</w:t>
            </w:r>
            <w:r w:rsidRPr="00A13F2C">
              <w:rPr>
                <w:sz w:val="22"/>
                <w:szCs w:val="22"/>
                <w:vertAlign w:val="superscript"/>
                <w:lang w:val="en-GB"/>
              </w:rPr>
              <w:t>c</w:t>
            </w:r>
            <w:proofErr w:type="spellEnd"/>
            <w:r w:rsidRPr="00A13F2C">
              <w:rPr>
                <w:sz w:val="22"/>
                <w:szCs w:val="22"/>
                <w:lang w:val="en-GB"/>
              </w:rPr>
              <w:t>]</w:t>
            </w:r>
          </w:p>
        </w:tc>
      </w:tr>
      <w:tr w:rsidR="00D51BF3" w:rsidRPr="00282A22" w14:paraId="0839A6EC" w14:textId="77777777" w:rsidTr="00DA6878">
        <w:tc>
          <w:tcPr>
            <w:tcW w:w="2415" w:type="dxa"/>
            <w:tcBorders>
              <w:top w:val="single" w:sz="4" w:space="0" w:color="auto"/>
              <w:left w:val="single" w:sz="4" w:space="0" w:color="auto"/>
            </w:tcBorders>
          </w:tcPr>
          <w:p w14:paraId="3182EF48"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10</w:t>
            </w:r>
          </w:p>
        </w:tc>
        <w:tc>
          <w:tcPr>
            <w:tcW w:w="1530" w:type="dxa"/>
            <w:tcBorders>
              <w:top w:val="single" w:sz="4" w:space="0" w:color="auto"/>
            </w:tcBorders>
          </w:tcPr>
          <w:p w14:paraId="07225847"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72</w:t>
            </w:r>
          </w:p>
        </w:tc>
        <w:tc>
          <w:tcPr>
            <w:tcW w:w="2610" w:type="dxa"/>
            <w:tcBorders>
              <w:top w:val="single" w:sz="4" w:space="0" w:color="auto"/>
              <w:right w:val="single" w:sz="4" w:space="0" w:color="auto"/>
            </w:tcBorders>
          </w:tcPr>
          <w:p w14:paraId="4BA15B55"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100</w:t>
            </w:r>
            <w:r w:rsidR="00F43313" w:rsidRPr="00A13F2C">
              <w:rPr>
                <w:sz w:val="22"/>
                <w:szCs w:val="22"/>
                <w:lang w:val="en-GB"/>
              </w:rPr>
              <w:t>,</w:t>
            </w:r>
            <w:r w:rsidRPr="00A13F2C">
              <w:rPr>
                <w:sz w:val="22"/>
                <w:szCs w:val="22"/>
                <w:lang w:val="en-GB"/>
              </w:rPr>
              <w:t>0%</w:t>
            </w:r>
            <w:r w:rsidRPr="00A13F2C">
              <w:rPr>
                <w:sz w:val="22"/>
                <w:szCs w:val="22"/>
                <w:lang w:val="en-GB"/>
              </w:rPr>
              <w:br/>
              <w:t>[94</w:t>
            </w:r>
            <w:r w:rsidR="00F43313" w:rsidRPr="00A13F2C">
              <w:rPr>
                <w:sz w:val="22"/>
                <w:szCs w:val="22"/>
                <w:lang w:val="en-GB"/>
              </w:rPr>
              <w:t>,</w:t>
            </w:r>
            <w:r w:rsidRPr="00A13F2C">
              <w:rPr>
                <w:sz w:val="22"/>
                <w:szCs w:val="22"/>
                <w:lang w:val="en-GB"/>
              </w:rPr>
              <w:t>9%</w:t>
            </w:r>
            <w:r w:rsidR="00F43313" w:rsidRPr="00A13F2C">
              <w:rPr>
                <w:sz w:val="22"/>
                <w:szCs w:val="22"/>
                <w:lang w:val="en-GB"/>
              </w:rPr>
              <w:t>;</w:t>
            </w:r>
            <w:r w:rsidRPr="00A13F2C">
              <w:rPr>
                <w:sz w:val="22"/>
                <w:szCs w:val="22"/>
                <w:lang w:val="en-GB"/>
              </w:rPr>
              <w:t xml:space="preserve"> 100</w:t>
            </w:r>
            <w:r w:rsidR="00F43313" w:rsidRPr="00A13F2C">
              <w:rPr>
                <w:sz w:val="22"/>
                <w:szCs w:val="22"/>
                <w:lang w:val="en-GB"/>
              </w:rPr>
              <w:t>,</w:t>
            </w:r>
            <w:r w:rsidRPr="00A13F2C">
              <w:rPr>
                <w:sz w:val="22"/>
                <w:szCs w:val="22"/>
                <w:lang w:val="en-GB"/>
              </w:rPr>
              <w:t>0%]</w:t>
            </w:r>
          </w:p>
        </w:tc>
      </w:tr>
      <w:tr w:rsidR="00D51BF3" w:rsidRPr="00282A22" w14:paraId="461F17D2" w14:textId="77777777" w:rsidTr="00DA6878">
        <w:tc>
          <w:tcPr>
            <w:tcW w:w="2415" w:type="dxa"/>
            <w:tcBorders>
              <w:left w:val="single" w:sz="4" w:space="0" w:color="auto"/>
            </w:tcBorders>
          </w:tcPr>
          <w:p w14:paraId="26C55373"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28</w:t>
            </w:r>
          </w:p>
        </w:tc>
        <w:tc>
          <w:tcPr>
            <w:tcW w:w="1530" w:type="dxa"/>
          </w:tcPr>
          <w:p w14:paraId="7B1F2097"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72</w:t>
            </w:r>
          </w:p>
        </w:tc>
        <w:tc>
          <w:tcPr>
            <w:tcW w:w="2610" w:type="dxa"/>
            <w:tcBorders>
              <w:right w:val="single" w:sz="4" w:space="0" w:color="auto"/>
            </w:tcBorders>
          </w:tcPr>
          <w:p w14:paraId="74323B6F"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100</w:t>
            </w:r>
            <w:r w:rsidR="00F43313" w:rsidRPr="00A13F2C">
              <w:rPr>
                <w:sz w:val="22"/>
                <w:szCs w:val="22"/>
                <w:lang w:val="en-GB"/>
              </w:rPr>
              <w:t>,</w:t>
            </w:r>
            <w:r w:rsidRPr="00A13F2C">
              <w:rPr>
                <w:sz w:val="22"/>
                <w:szCs w:val="22"/>
                <w:lang w:val="en-GB"/>
              </w:rPr>
              <w:t>0%</w:t>
            </w:r>
            <w:r w:rsidRPr="00A13F2C">
              <w:rPr>
                <w:sz w:val="22"/>
                <w:szCs w:val="22"/>
                <w:lang w:val="en-GB"/>
              </w:rPr>
              <w:br/>
              <w:t>[94</w:t>
            </w:r>
            <w:r w:rsidR="00F43313" w:rsidRPr="00A13F2C">
              <w:rPr>
                <w:sz w:val="22"/>
                <w:szCs w:val="22"/>
                <w:lang w:val="en-GB"/>
              </w:rPr>
              <w:t>,</w:t>
            </w:r>
            <w:r w:rsidRPr="00A13F2C">
              <w:rPr>
                <w:sz w:val="22"/>
                <w:szCs w:val="22"/>
                <w:lang w:val="en-GB"/>
              </w:rPr>
              <w:t>9%</w:t>
            </w:r>
            <w:r w:rsidR="00F43313" w:rsidRPr="00A13F2C">
              <w:rPr>
                <w:sz w:val="22"/>
                <w:szCs w:val="22"/>
                <w:lang w:val="en-GB"/>
              </w:rPr>
              <w:t>;</w:t>
            </w:r>
            <w:r w:rsidRPr="00A13F2C">
              <w:rPr>
                <w:sz w:val="22"/>
                <w:szCs w:val="22"/>
                <w:lang w:val="en-GB"/>
              </w:rPr>
              <w:t xml:space="preserve"> 100</w:t>
            </w:r>
            <w:r w:rsidR="00F43313" w:rsidRPr="00A13F2C">
              <w:rPr>
                <w:sz w:val="22"/>
                <w:szCs w:val="22"/>
                <w:lang w:val="en-GB"/>
              </w:rPr>
              <w:t>,</w:t>
            </w:r>
            <w:r w:rsidRPr="00A13F2C">
              <w:rPr>
                <w:sz w:val="22"/>
                <w:szCs w:val="22"/>
                <w:lang w:val="en-GB"/>
              </w:rPr>
              <w:t>0%]</w:t>
            </w:r>
          </w:p>
        </w:tc>
      </w:tr>
      <w:tr w:rsidR="00D51BF3" w:rsidRPr="00282A22" w14:paraId="2C31EA1D" w14:textId="77777777" w:rsidTr="00DA6878">
        <w:tc>
          <w:tcPr>
            <w:tcW w:w="2415" w:type="dxa"/>
            <w:tcBorders>
              <w:left w:val="single" w:sz="4" w:space="0" w:color="auto"/>
            </w:tcBorders>
          </w:tcPr>
          <w:p w14:paraId="31E1AEED"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90</w:t>
            </w:r>
          </w:p>
        </w:tc>
        <w:tc>
          <w:tcPr>
            <w:tcW w:w="1530" w:type="dxa"/>
          </w:tcPr>
          <w:p w14:paraId="3A00998F"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72</w:t>
            </w:r>
          </w:p>
        </w:tc>
        <w:tc>
          <w:tcPr>
            <w:tcW w:w="2610" w:type="dxa"/>
            <w:tcBorders>
              <w:right w:val="single" w:sz="4" w:space="0" w:color="auto"/>
            </w:tcBorders>
          </w:tcPr>
          <w:p w14:paraId="440FC629"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88</w:t>
            </w:r>
            <w:r w:rsidR="00F43313" w:rsidRPr="00A13F2C">
              <w:rPr>
                <w:sz w:val="22"/>
                <w:szCs w:val="22"/>
                <w:lang w:val="en-GB"/>
              </w:rPr>
              <w:t>,</w:t>
            </w:r>
            <w:r w:rsidRPr="00A13F2C">
              <w:rPr>
                <w:sz w:val="22"/>
                <w:szCs w:val="22"/>
                <w:lang w:val="en-GB"/>
              </w:rPr>
              <w:t>9%</w:t>
            </w:r>
            <w:r w:rsidRPr="00A13F2C">
              <w:rPr>
                <w:sz w:val="22"/>
                <w:szCs w:val="22"/>
                <w:lang w:val="en-GB"/>
              </w:rPr>
              <w:br/>
              <w:t>[79</w:t>
            </w:r>
            <w:r w:rsidR="00F43313" w:rsidRPr="00A13F2C">
              <w:rPr>
                <w:sz w:val="22"/>
                <w:szCs w:val="22"/>
                <w:lang w:val="en-GB"/>
              </w:rPr>
              <w:t>,</w:t>
            </w:r>
            <w:r w:rsidRPr="00A13F2C">
              <w:rPr>
                <w:sz w:val="22"/>
                <w:szCs w:val="22"/>
                <w:lang w:val="en-GB"/>
              </w:rPr>
              <w:t>6%</w:t>
            </w:r>
            <w:r w:rsidR="00F43313" w:rsidRPr="00A13F2C">
              <w:rPr>
                <w:sz w:val="22"/>
                <w:szCs w:val="22"/>
                <w:lang w:val="en-GB"/>
              </w:rPr>
              <w:t>;</w:t>
            </w:r>
            <w:r w:rsidRPr="00A13F2C">
              <w:rPr>
                <w:sz w:val="22"/>
                <w:szCs w:val="22"/>
                <w:lang w:val="en-GB"/>
              </w:rPr>
              <w:t xml:space="preserve"> 94</w:t>
            </w:r>
            <w:r w:rsidR="00F43313" w:rsidRPr="00A13F2C">
              <w:rPr>
                <w:sz w:val="22"/>
                <w:szCs w:val="22"/>
                <w:lang w:val="en-GB"/>
              </w:rPr>
              <w:t>,</w:t>
            </w:r>
            <w:r w:rsidRPr="00A13F2C">
              <w:rPr>
                <w:sz w:val="22"/>
                <w:szCs w:val="22"/>
                <w:lang w:val="en-GB"/>
              </w:rPr>
              <w:t>3%]</w:t>
            </w:r>
          </w:p>
        </w:tc>
      </w:tr>
      <w:tr w:rsidR="00D51BF3" w:rsidRPr="00282A22" w14:paraId="78D8C644" w14:textId="77777777" w:rsidTr="00DA6878">
        <w:tc>
          <w:tcPr>
            <w:tcW w:w="2415" w:type="dxa"/>
            <w:tcBorders>
              <w:left w:val="single" w:sz="4" w:space="0" w:color="auto"/>
            </w:tcBorders>
          </w:tcPr>
          <w:p w14:paraId="11EF1E80"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180</w:t>
            </w:r>
          </w:p>
        </w:tc>
        <w:tc>
          <w:tcPr>
            <w:tcW w:w="1530" w:type="dxa"/>
          </w:tcPr>
          <w:p w14:paraId="1D71BE50"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71</w:t>
            </w:r>
          </w:p>
        </w:tc>
        <w:tc>
          <w:tcPr>
            <w:tcW w:w="2610" w:type="dxa"/>
            <w:tcBorders>
              <w:right w:val="single" w:sz="4" w:space="0" w:color="auto"/>
            </w:tcBorders>
          </w:tcPr>
          <w:p w14:paraId="2F9EC42D"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83</w:t>
            </w:r>
            <w:r w:rsidR="00F43313" w:rsidRPr="00A13F2C">
              <w:rPr>
                <w:sz w:val="22"/>
                <w:szCs w:val="22"/>
                <w:lang w:val="en-GB"/>
              </w:rPr>
              <w:t>,</w:t>
            </w:r>
            <w:r w:rsidRPr="00A13F2C">
              <w:rPr>
                <w:sz w:val="22"/>
                <w:szCs w:val="22"/>
                <w:lang w:val="en-GB"/>
              </w:rPr>
              <w:t>1%</w:t>
            </w:r>
            <w:r w:rsidRPr="00A13F2C">
              <w:rPr>
                <w:sz w:val="22"/>
                <w:szCs w:val="22"/>
                <w:lang w:val="en-GB"/>
              </w:rPr>
              <w:br/>
              <w:t>[72</w:t>
            </w:r>
            <w:r w:rsidR="00F43313" w:rsidRPr="00A13F2C">
              <w:rPr>
                <w:sz w:val="22"/>
                <w:szCs w:val="22"/>
                <w:lang w:val="en-GB"/>
              </w:rPr>
              <w:t>,</w:t>
            </w:r>
            <w:r w:rsidRPr="00A13F2C">
              <w:rPr>
                <w:sz w:val="22"/>
                <w:szCs w:val="22"/>
                <w:lang w:val="en-GB"/>
              </w:rPr>
              <w:t>7%</w:t>
            </w:r>
            <w:r w:rsidR="00F43313" w:rsidRPr="00A13F2C">
              <w:rPr>
                <w:sz w:val="22"/>
                <w:szCs w:val="22"/>
                <w:lang w:val="en-GB"/>
              </w:rPr>
              <w:t>;</w:t>
            </w:r>
            <w:r w:rsidRPr="00A13F2C">
              <w:rPr>
                <w:sz w:val="22"/>
                <w:szCs w:val="22"/>
                <w:lang w:val="en-GB"/>
              </w:rPr>
              <w:t xml:space="preserve"> 90</w:t>
            </w:r>
            <w:r w:rsidR="00F43313" w:rsidRPr="00A13F2C">
              <w:rPr>
                <w:sz w:val="22"/>
                <w:szCs w:val="22"/>
                <w:lang w:val="en-GB"/>
              </w:rPr>
              <w:t>,</w:t>
            </w:r>
            <w:r w:rsidRPr="00A13F2C">
              <w:rPr>
                <w:sz w:val="22"/>
                <w:szCs w:val="22"/>
                <w:lang w:val="en-GB"/>
              </w:rPr>
              <w:t>1%]</w:t>
            </w:r>
          </w:p>
        </w:tc>
      </w:tr>
      <w:tr w:rsidR="00D51BF3" w:rsidRPr="00282A22" w14:paraId="041E45A1" w14:textId="77777777" w:rsidTr="00DA6878">
        <w:tc>
          <w:tcPr>
            <w:tcW w:w="2415" w:type="dxa"/>
            <w:tcBorders>
              <w:left w:val="single" w:sz="4" w:space="0" w:color="auto"/>
            </w:tcBorders>
          </w:tcPr>
          <w:p w14:paraId="2F3B0954"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364</w:t>
            </w:r>
          </w:p>
        </w:tc>
        <w:tc>
          <w:tcPr>
            <w:tcW w:w="1530" w:type="dxa"/>
          </w:tcPr>
          <w:p w14:paraId="06E1A147"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70</w:t>
            </w:r>
          </w:p>
        </w:tc>
        <w:tc>
          <w:tcPr>
            <w:tcW w:w="2610" w:type="dxa"/>
            <w:tcBorders>
              <w:right w:val="single" w:sz="4" w:space="0" w:color="auto"/>
            </w:tcBorders>
          </w:tcPr>
          <w:p w14:paraId="18F4D864"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68</w:t>
            </w:r>
            <w:r w:rsidR="00F43313" w:rsidRPr="00A13F2C">
              <w:rPr>
                <w:sz w:val="22"/>
                <w:szCs w:val="22"/>
                <w:lang w:val="en-GB"/>
              </w:rPr>
              <w:t>,</w:t>
            </w:r>
            <w:r w:rsidRPr="00A13F2C">
              <w:rPr>
                <w:sz w:val="22"/>
                <w:szCs w:val="22"/>
                <w:lang w:val="en-GB"/>
              </w:rPr>
              <w:t>6%</w:t>
            </w:r>
            <w:r w:rsidRPr="00A13F2C">
              <w:rPr>
                <w:sz w:val="22"/>
                <w:szCs w:val="22"/>
                <w:lang w:val="en-GB"/>
              </w:rPr>
              <w:br/>
              <w:t>[57</w:t>
            </w:r>
            <w:r w:rsidR="00F43313" w:rsidRPr="00A13F2C">
              <w:rPr>
                <w:sz w:val="22"/>
                <w:szCs w:val="22"/>
                <w:lang w:val="en-GB"/>
              </w:rPr>
              <w:t>,</w:t>
            </w:r>
            <w:r w:rsidRPr="00A13F2C">
              <w:rPr>
                <w:sz w:val="22"/>
                <w:szCs w:val="22"/>
                <w:lang w:val="en-GB"/>
              </w:rPr>
              <w:t>0%</w:t>
            </w:r>
            <w:r w:rsidR="00F43313" w:rsidRPr="00A13F2C">
              <w:rPr>
                <w:sz w:val="22"/>
                <w:szCs w:val="22"/>
                <w:lang w:val="en-GB"/>
              </w:rPr>
              <w:t>;</w:t>
            </w:r>
            <w:r w:rsidRPr="00A13F2C">
              <w:rPr>
                <w:sz w:val="22"/>
                <w:szCs w:val="22"/>
                <w:lang w:val="en-GB"/>
              </w:rPr>
              <w:t xml:space="preserve"> 78</w:t>
            </w:r>
            <w:r w:rsidR="00F43313" w:rsidRPr="00A13F2C">
              <w:rPr>
                <w:sz w:val="22"/>
                <w:szCs w:val="22"/>
                <w:lang w:val="en-GB"/>
              </w:rPr>
              <w:t>,</w:t>
            </w:r>
            <w:r w:rsidRPr="00A13F2C">
              <w:rPr>
                <w:sz w:val="22"/>
                <w:szCs w:val="22"/>
                <w:lang w:val="en-GB"/>
              </w:rPr>
              <w:t>2%]</w:t>
            </w:r>
          </w:p>
        </w:tc>
      </w:tr>
      <w:tr w:rsidR="00D51BF3" w:rsidRPr="00282A22" w14:paraId="1DC584E4" w14:textId="77777777" w:rsidTr="00DA6878">
        <w:tc>
          <w:tcPr>
            <w:tcW w:w="2415" w:type="dxa"/>
            <w:tcBorders>
              <w:left w:val="single" w:sz="4" w:space="0" w:color="auto"/>
            </w:tcBorders>
          </w:tcPr>
          <w:p w14:paraId="1861E80A"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546</w:t>
            </w:r>
          </w:p>
        </w:tc>
        <w:tc>
          <w:tcPr>
            <w:tcW w:w="1530" w:type="dxa"/>
          </w:tcPr>
          <w:p w14:paraId="7F0F8419"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67</w:t>
            </w:r>
          </w:p>
        </w:tc>
        <w:tc>
          <w:tcPr>
            <w:tcW w:w="2610" w:type="dxa"/>
            <w:tcBorders>
              <w:right w:val="single" w:sz="4" w:space="0" w:color="auto"/>
            </w:tcBorders>
          </w:tcPr>
          <w:p w14:paraId="114BA354"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73</w:t>
            </w:r>
            <w:r w:rsidR="00F43313" w:rsidRPr="00A13F2C">
              <w:rPr>
                <w:sz w:val="22"/>
                <w:szCs w:val="22"/>
                <w:lang w:val="en-GB"/>
              </w:rPr>
              <w:t>,</w:t>
            </w:r>
            <w:r w:rsidRPr="00A13F2C">
              <w:rPr>
                <w:sz w:val="22"/>
                <w:szCs w:val="22"/>
                <w:lang w:val="en-GB"/>
              </w:rPr>
              <w:t>1%</w:t>
            </w:r>
            <w:r w:rsidRPr="00A13F2C">
              <w:rPr>
                <w:sz w:val="22"/>
                <w:szCs w:val="22"/>
                <w:lang w:val="en-GB"/>
              </w:rPr>
              <w:br/>
              <w:t>[61</w:t>
            </w:r>
            <w:r w:rsidR="00F43313" w:rsidRPr="00A13F2C">
              <w:rPr>
                <w:sz w:val="22"/>
                <w:szCs w:val="22"/>
                <w:lang w:val="en-GB"/>
              </w:rPr>
              <w:t>,</w:t>
            </w:r>
            <w:r w:rsidRPr="00A13F2C">
              <w:rPr>
                <w:sz w:val="22"/>
                <w:szCs w:val="22"/>
                <w:lang w:val="en-GB"/>
              </w:rPr>
              <w:t>5%</w:t>
            </w:r>
            <w:r w:rsidR="00F43313" w:rsidRPr="00A13F2C">
              <w:rPr>
                <w:sz w:val="22"/>
                <w:szCs w:val="22"/>
                <w:lang w:val="en-GB"/>
              </w:rPr>
              <w:t>;</w:t>
            </w:r>
            <w:r w:rsidRPr="00A13F2C">
              <w:rPr>
                <w:sz w:val="22"/>
                <w:szCs w:val="22"/>
                <w:lang w:val="en-GB"/>
              </w:rPr>
              <w:t xml:space="preserve"> 82</w:t>
            </w:r>
            <w:r w:rsidR="00F43313" w:rsidRPr="00A13F2C">
              <w:rPr>
                <w:sz w:val="22"/>
                <w:szCs w:val="22"/>
                <w:lang w:val="en-GB"/>
              </w:rPr>
              <w:t>,</w:t>
            </w:r>
            <w:r w:rsidRPr="00A13F2C">
              <w:rPr>
                <w:sz w:val="22"/>
                <w:szCs w:val="22"/>
                <w:lang w:val="en-GB"/>
              </w:rPr>
              <w:t>3%]</w:t>
            </w:r>
          </w:p>
        </w:tc>
      </w:tr>
      <w:tr w:rsidR="00D51BF3" w:rsidRPr="00282A22" w14:paraId="2CE48F41" w14:textId="77777777" w:rsidTr="00DA6878">
        <w:tc>
          <w:tcPr>
            <w:tcW w:w="2415" w:type="dxa"/>
            <w:tcBorders>
              <w:left w:val="single" w:sz="4" w:space="0" w:color="auto"/>
              <w:bottom w:val="single" w:sz="4" w:space="0" w:color="auto"/>
            </w:tcBorders>
          </w:tcPr>
          <w:p w14:paraId="3D87DB39"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729</w:t>
            </w:r>
          </w:p>
        </w:tc>
        <w:tc>
          <w:tcPr>
            <w:tcW w:w="1530" w:type="dxa"/>
            <w:tcBorders>
              <w:bottom w:val="single" w:sz="4" w:space="0" w:color="auto"/>
            </w:tcBorders>
          </w:tcPr>
          <w:p w14:paraId="1FF1DC9F"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62</w:t>
            </w:r>
          </w:p>
        </w:tc>
        <w:tc>
          <w:tcPr>
            <w:tcW w:w="2610" w:type="dxa"/>
            <w:tcBorders>
              <w:bottom w:val="single" w:sz="4" w:space="0" w:color="auto"/>
              <w:right w:val="single" w:sz="4" w:space="0" w:color="auto"/>
            </w:tcBorders>
          </w:tcPr>
          <w:p w14:paraId="1CA97B1B" w14:textId="77777777" w:rsidR="00D51BF3" w:rsidRPr="00A13F2C" w:rsidRDefault="00D51BF3" w:rsidP="00DA6878">
            <w:pPr>
              <w:pStyle w:val="ParaText"/>
              <w:keepNext/>
              <w:keepLines/>
              <w:spacing w:before="0" w:after="0"/>
              <w:jc w:val="center"/>
              <w:rPr>
                <w:sz w:val="22"/>
                <w:szCs w:val="22"/>
                <w:lang w:val="en-GB"/>
              </w:rPr>
            </w:pPr>
            <w:r w:rsidRPr="00A13F2C">
              <w:rPr>
                <w:sz w:val="22"/>
                <w:szCs w:val="22"/>
                <w:lang w:val="en-GB"/>
              </w:rPr>
              <w:t>64</w:t>
            </w:r>
            <w:r w:rsidR="00F43313" w:rsidRPr="00A13F2C">
              <w:rPr>
                <w:sz w:val="22"/>
                <w:szCs w:val="22"/>
                <w:lang w:val="en-GB"/>
              </w:rPr>
              <w:t>,</w:t>
            </w:r>
            <w:r w:rsidRPr="00A13F2C">
              <w:rPr>
                <w:sz w:val="22"/>
                <w:szCs w:val="22"/>
                <w:lang w:val="en-GB"/>
              </w:rPr>
              <w:t>5%</w:t>
            </w:r>
            <w:r w:rsidRPr="00A13F2C">
              <w:rPr>
                <w:sz w:val="22"/>
                <w:szCs w:val="22"/>
                <w:lang w:val="en-GB"/>
              </w:rPr>
              <w:br/>
              <w:t>[52</w:t>
            </w:r>
            <w:r w:rsidR="00F43313" w:rsidRPr="00A13F2C">
              <w:rPr>
                <w:sz w:val="22"/>
                <w:szCs w:val="22"/>
                <w:lang w:val="en-GB"/>
              </w:rPr>
              <w:t>,</w:t>
            </w:r>
            <w:r w:rsidRPr="00A13F2C">
              <w:rPr>
                <w:sz w:val="22"/>
                <w:szCs w:val="22"/>
                <w:lang w:val="en-GB"/>
              </w:rPr>
              <w:t>1%</w:t>
            </w:r>
            <w:r w:rsidR="00F43313" w:rsidRPr="00A13F2C">
              <w:rPr>
                <w:sz w:val="22"/>
                <w:szCs w:val="22"/>
                <w:lang w:val="en-GB"/>
              </w:rPr>
              <w:t>;</w:t>
            </w:r>
            <w:r w:rsidRPr="00A13F2C">
              <w:rPr>
                <w:sz w:val="22"/>
                <w:szCs w:val="22"/>
                <w:lang w:val="en-GB"/>
              </w:rPr>
              <w:t xml:space="preserve"> 75</w:t>
            </w:r>
            <w:r w:rsidR="00F43313" w:rsidRPr="00A13F2C">
              <w:rPr>
                <w:sz w:val="22"/>
                <w:szCs w:val="22"/>
                <w:lang w:val="en-GB"/>
              </w:rPr>
              <w:t>,</w:t>
            </w:r>
            <w:r w:rsidRPr="00A13F2C">
              <w:rPr>
                <w:sz w:val="22"/>
                <w:szCs w:val="22"/>
                <w:lang w:val="en-GB"/>
              </w:rPr>
              <w:t>3%]</w:t>
            </w:r>
          </w:p>
        </w:tc>
      </w:tr>
    </w:tbl>
    <w:p w14:paraId="57587F49" w14:textId="33ED1BC1" w:rsidR="00D51BF3" w:rsidRPr="00DA6878" w:rsidRDefault="00D51BF3" w:rsidP="00DA6878">
      <w:pPr>
        <w:pStyle w:val="TableFigureNote"/>
        <w:keepNext/>
        <w:keepLines/>
        <w:spacing w:before="0" w:line="240" w:lineRule="auto"/>
        <w:ind w:left="284" w:hanging="284"/>
        <w:rPr>
          <w:szCs w:val="20"/>
          <w:lang w:val="pl-PL"/>
        </w:rPr>
      </w:pPr>
      <w:r w:rsidRPr="00A95CD4">
        <w:rPr>
          <w:vertAlign w:val="superscript"/>
          <w:lang w:val="pl-PL"/>
        </w:rPr>
        <w:t>a</w:t>
      </w:r>
      <w:r w:rsidR="000850EA">
        <w:rPr>
          <w:lang w:val="pl-PL"/>
        </w:rPr>
        <w:tab/>
      </w:r>
      <w:r w:rsidR="00F43313" w:rsidRPr="00DA6878">
        <w:rPr>
          <w:szCs w:val="20"/>
          <w:lang w:val="pl-PL"/>
        </w:rPr>
        <w:t>Serokonwersję zdefiniowano jako odsetek uczestników badania, u</w:t>
      </w:r>
      <w:r w:rsidR="000850EA">
        <w:rPr>
          <w:szCs w:val="20"/>
          <w:lang w:val="pl-PL"/>
        </w:rPr>
        <w:t> </w:t>
      </w:r>
      <w:r w:rsidR="00F43313" w:rsidRPr="00DA6878">
        <w:rPr>
          <w:szCs w:val="20"/>
          <w:lang w:val="pl-PL"/>
        </w:rPr>
        <w:t>których wystąpił co najmniej 4</w:t>
      </w:r>
      <w:r w:rsidR="00E04229" w:rsidRPr="00146F71">
        <w:rPr>
          <w:szCs w:val="20"/>
          <w:lang w:val="pl-PL"/>
        </w:rPr>
        <w:t>-</w:t>
      </w:r>
      <w:r w:rsidR="00F43313" w:rsidRPr="00DA6878">
        <w:rPr>
          <w:szCs w:val="20"/>
          <w:lang w:val="pl-PL"/>
        </w:rPr>
        <w:t xml:space="preserve">krotny wzrost miana przeciwciał bójczych wobec przecinkowca </w:t>
      </w:r>
      <w:r w:rsidR="00F43313" w:rsidRPr="00146F71">
        <w:rPr>
          <w:szCs w:val="20"/>
          <w:lang w:val="pl-PL"/>
        </w:rPr>
        <w:t xml:space="preserve">po szczepieniu </w:t>
      </w:r>
      <w:r w:rsidR="00F43313" w:rsidRPr="00DA6878">
        <w:rPr>
          <w:szCs w:val="20"/>
          <w:lang w:val="pl-PL"/>
        </w:rPr>
        <w:t>względem wartości wyjściowej.</w:t>
      </w:r>
    </w:p>
    <w:p w14:paraId="79180914" w14:textId="57C61627" w:rsidR="00D51BF3" w:rsidRPr="00DA6878" w:rsidRDefault="00D51BF3" w:rsidP="00DA6878">
      <w:pPr>
        <w:pStyle w:val="TableFigureNote"/>
        <w:keepNext/>
        <w:keepLines/>
        <w:spacing w:before="0" w:line="240" w:lineRule="auto"/>
        <w:ind w:left="284" w:hanging="284"/>
        <w:rPr>
          <w:szCs w:val="20"/>
          <w:lang w:val="pl-PL"/>
        </w:rPr>
      </w:pPr>
      <w:r w:rsidRPr="00DA6878">
        <w:rPr>
          <w:szCs w:val="20"/>
          <w:vertAlign w:val="superscript"/>
          <w:lang w:val="pl-PL"/>
        </w:rPr>
        <w:t>b</w:t>
      </w:r>
      <w:r w:rsidR="000850EA">
        <w:rPr>
          <w:szCs w:val="20"/>
          <w:lang w:val="pl-PL"/>
        </w:rPr>
        <w:tab/>
      </w:r>
      <w:r w:rsidR="00F43313" w:rsidRPr="00DA6878">
        <w:rPr>
          <w:szCs w:val="20"/>
          <w:lang w:val="pl-PL"/>
        </w:rPr>
        <w:t>N = liczba uczestników badania, od których pobrano nadające się do analizy próbki</w:t>
      </w:r>
      <w:r w:rsidR="00F513F9" w:rsidRPr="00DA6878">
        <w:rPr>
          <w:szCs w:val="20"/>
          <w:lang w:val="pl-PL"/>
        </w:rPr>
        <w:t>, należących do populacji możliwej do oceny pod względem immunogenności w</w:t>
      </w:r>
      <w:r w:rsidR="000850EA">
        <w:rPr>
          <w:szCs w:val="20"/>
          <w:lang w:val="pl-PL"/>
        </w:rPr>
        <w:t> </w:t>
      </w:r>
      <w:r w:rsidR="00F513F9" w:rsidRPr="00DA6878">
        <w:rPr>
          <w:szCs w:val="20"/>
          <w:lang w:val="pl-PL"/>
        </w:rPr>
        <w:t>długoterminowym kontrolnym badaniu dodatkowym</w:t>
      </w:r>
      <w:r w:rsidR="00F43313" w:rsidRPr="00DA6878">
        <w:rPr>
          <w:szCs w:val="20"/>
          <w:lang w:val="pl-PL"/>
        </w:rPr>
        <w:t>.</w:t>
      </w:r>
    </w:p>
    <w:p w14:paraId="2A21443F" w14:textId="4BD219D6" w:rsidR="00E96702" w:rsidRPr="00DA6878" w:rsidRDefault="00D51BF3" w:rsidP="00DA6878">
      <w:pPr>
        <w:tabs>
          <w:tab w:val="left" w:pos="284"/>
        </w:tabs>
        <w:rPr>
          <w:sz w:val="20"/>
          <w:szCs w:val="20"/>
        </w:rPr>
      </w:pPr>
      <w:r w:rsidRPr="00DA6878">
        <w:rPr>
          <w:sz w:val="20"/>
          <w:szCs w:val="20"/>
          <w:vertAlign w:val="superscript"/>
        </w:rPr>
        <w:t>c</w:t>
      </w:r>
      <w:r w:rsidR="000850EA">
        <w:rPr>
          <w:sz w:val="20"/>
          <w:szCs w:val="20"/>
        </w:rPr>
        <w:tab/>
      </w:r>
      <w:r w:rsidR="00F43313" w:rsidRPr="00DA6878">
        <w:rPr>
          <w:sz w:val="20"/>
          <w:szCs w:val="20"/>
        </w:rPr>
        <w:t>CI = przedział ufności.</w:t>
      </w:r>
    </w:p>
    <w:p w14:paraId="5943E1A7" w14:textId="77777777" w:rsidR="00E96702" w:rsidRDefault="00E96702"/>
    <w:p w14:paraId="1C34A96C" w14:textId="77777777" w:rsidR="00E96702" w:rsidRDefault="0095540B">
      <w:r>
        <w:t>Europejska Agencja Leków wstrzymała obowiązek dołączania wyników badań produktu leczniczego Vaxchora w jednej lub kilku podgrupach populacji dzieci i młodzieży w ramach profilaktyki cholery (stosowanie u dzieci i młodzieży, patrz punkt 4.2).</w:t>
      </w:r>
    </w:p>
    <w:p w14:paraId="2B546156" w14:textId="77777777" w:rsidR="00E96702" w:rsidRDefault="00E96702"/>
    <w:p w14:paraId="5F26F68F" w14:textId="77777777" w:rsidR="00E96702" w:rsidRPr="00EC4F10" w:rsidRDefault="0095540B" w:rsidP="00EC4F10">
      <w:pPr>
        <w:rPr>
          <w:b/>
          <w:bCs/>
        </w:rPr>
      </w:pPr>
      <w:r w:rsidRPr="00EC4F10">
        <w:rPr>
          <w:b/>
          <w:bCs/>
        </w:rPr>
        <w:t>5.2</w:t>
      </w:r>
      <w:r w:rsidRPr="00EC4F10">
        <w:rPr>
          <w:b/>
          <w:bCs/>
        </w:rPr>
        <w:tab/>
        <w:t>Właściwości farmakokinetyczne</w:t>
      </w:r>
    </w:p>
    <w:p w14:paraId="74CDAF60" w14:textId="77777777" w:rsidR="00E96702" w:rsidRDefault="00E96702">
      <w:pPr>
        <w:keepNext/>
      </w:pPr>
    </w:p>
    <w:p w14:paraId="11CDF781" w14:textId="77777777" w:rsidR="00E96702" w:rsidRDefault="0095540B">
      <w:r>
        <w:t>Nie dotyczy.</w:t>
      </w:r>
    </w:p>
    <w:p w14:paraId="259CCCA2" w14:textId="77777777" w:rsidR="00E96702" w:rsidRDefault="00E96702"/>
    <w:p w14:paraId="0B63223F" w14:textId="77777777" w:rsidR="00E96702" w:rsidRPr="00EC4F10" w:rsidRDefault="0095540B" w:rsidP="00EC4F10">
      <w:pPr>
        <w:rPr>
          <w:b/>
          <w:bCs/>
        </w:rPr>
      </w:pPr>
      <w:r w:rsidRPr="00EC4F10">
        <w:rPr>
          <w:b/>
          <w:bCs/>
        </w:rPr>
        <w:t>5.3</w:t>
      </w:r>
      <w:r w:rsidRPr="00EC4F10">
        <w:rPr>
          <w:b/>
          <w:bCs/>
        </w:rPr>
        <w:tab/>
        <w:t>Przedkliniczne dane o bezpieczeństwie</w:t>
      </w:r>
    </w:p>
    <w:p w14:paraId="7525719F" w14:textId="77777777" w:rsidR="00E96702" w:rsidRDefault="00E96702">
      <w:pPr>
        <w:keepNext/>
      </w:pPr>
    </w:p>
    <w:p w14:paraId="3884DD71" w14:textId="77777777" w:rsidR="00E96702" w:rsidRDefault="0095540B">
      <w:r>
        <w:t>Przedkliniczne dane o bezpieczeństwie stosowania produktu leczniczego Vaxchora nie są dostępne.</w:t>
      </w:r>
    </w:p>
    <w:p w14:paraId="5C301B7B" w14:textId="77777777" w:rsidR="00E96702" w:rsidRDefault="00E96702"/>
    <w:p w14:paraId="3C9B18F2" w14:textId="77777777" w:rsidR="00E96702" w:rsidRDefault="00E96702"/>
    <w:p w14:paraId="2518DEE5" w14:textId="77777777" w:rsidR="00E96702" w:rsidRPr="00EC4F10" w:rsidRDefault="0095540B" w:rsidP="00EC4F10">
      <w:pPr>
        <w:rPr>
          <w:b/>
          <w:bCs/>
        </w:rPr>
      </w:pPr>
      <w:r w:rsidRPr="00EC4F10">
        <w:rPr>
          <w:b/>
          <w:bCs/>
        </w:rPr>
        <w:t>6.</w:t>
      </w:r>
      <w:r w:rsidRPr="00EC4F10">
        <w:rPr>
          <w:b/>
          <w:bCs/>
        </w:rPr>
        <w:tab/>
        <w:t>DANE FARMACEUTYCZNE</w:t>
      </w:r>
    </w:p>
    <w:p w14:paraId="462BCF02" w14:textId="77777777" w:rsidR="00E96702" w:rsidRDefault="00E96702">
      <w:pPr>
        <w:keepNext/>
      </w:pPr>
    </w:p>
    <w:p w14:paraId="19B15513" w14:textId="77777777" w:rsidR="00E96702" w:rsidRPr="00EC4F10" w:rsidRDefault="0095540B" w:rsidP="00EC4F10">
      <w:pPr>
        <w:rPr>
          <w:b/>
          <w:bCs/>
        </w:rPr>
      </w:pPr>
      <w:r w:rsidRPr="00EC4F10">
        <w:rPr>
          <w:b/>
          <w:bCs/>
        </w:rPr>
        <w:t>6.1</w:t>
      </w:r>
      <w:r w:rsidRPr="00EC4F10">
        <w:rPr>
          <w:b/>
          <w:bCs/>
        </w:rPr>
        <w:tab/>
        <w:t>Wykaz substancji pomocniczych</w:t>
      </w:r>
    </w:p>
    <w:p w14:paraId="4319691B" w14:textId="77777777" w:rsidR="00E96702" w:rsidRDefault="00E96702">
      <w:pPr>
        <w:keepNext/>
      </w:pPr>
    </w:p>
    <w:p w14:paraId="40E21B48" w14:textId="77777777" w:rsidR="00E96702" w:rsidRPr="00A13F2C" w:rsidRDefault="0095540B">
      <w:pPr>
        <w:pStyle w:val="HeadingStrongEmphasis"/>
        <w:rPr>
          <w:b w:val="0"/>
          <w:bCs w:val="0"/>
        </w:rPr>
      </w:pPr>
      <w:r w:rsidRPr="00A13F2C">
        <w:rPr>
          <w:b w:val="0"/>
          <w:bCs w:val="0"/>
        </w:rPr>
        <w:t>Saszetka nr 1 z buforem:</w:t>
      </w:r>
    </w:p>
    <w:p w14:paraId="3D3D7744" w14:textId="5635FD0F" w:rsidR="00E96702" w:rsidRDefault="0095540B">
      <w:r>
        <w:t>Sodu wodorowęglan</w:t>
      </w:r>
    </w:p>
    <w:p w14:paraId="7A154AEF" w14:textId="77777777" w:rsidR="00E96702" w:rsidRDefault="0095540B">
      <w:r>
        <w:t>Sodu węglan</w:t>
      </w:r>
    </w:p>
    <w:p w14:paraId="1DE8ADDC" w14:textId="77777777" w:rsidR="00E96702" w:rsidRDefault="0095540B">
      <w:r>
        <w:t>Kwas askorbinowy</w:t>
      </w:r>
    </w:p>
    <w:p w14:paraId="02628E4B" w14:textId="77777777" w:rsidR="00E96702" w:rsidRDefault="0095540B">
      <w:r>
        <w:t>Laktoza</w:t>
      </w:r>
    </w:p>
    <w:p w14:paraId="19F97DA8" w14:textId="77777777" w:rsidR="00E96702" w:rsidRDefault="00E96702"/>
    <w:p w14:paraId="13566888" w14:textId="77777777" w:rsidR="00E96702" w:rsidRPr="00A13F2C" w:rsidRDefault="0095540B">
      <w:pPr>
        <w:pStyle w:val="HeadingStrongEmphasis"/>
        <w:rPr>
          <w:b w:val="0"/>
          <w:bCs w:val="0"/>
        </w:rPr>
      </w:pPr>
      <w:r w:rsidRPr="00A13F2C">
        <w:rPr>
          <w:b w:val="0"/>
          <w:bCs w:val="0"/>
        </w:rPr>
        <w:t>Saszetka nr 2 z substancją czynną:</w:t>
      </w:r>
    </w:p>
    <w:p w14:paraId="74F4F35C" w14:textId="77777777" w:rsidR="00E96702" w:rsidRDefault="0095540B">
      <w:pPr>
        <w:keepNext/>
      </w:pPr>
      <w:r>
        <w:t>Sacharoza</w:t>
      </w:r>
    </w:p>
    <w:p w14:paraId="7428F4F9" w14:textId="703A0BE0" w:rsidR="00E96702" w:rsidRDefault="0095540B">
      <w:pPr>
        <w:keepNext/>
      </w:pPr>
      <w:r>
        <w:t>Kazeina hydrolizowana</w:t>
      </w:r>
    </w:p>
    <w:p w14:paraId="624AEBAB" w14:textId="77777777" w:rsidR="00E96702" w:rsidRDefault="0095540B">
      <w:pPr>
        <w:keepNext/>
      </w:pPr>
      <w:r>
        <w:t>Kwas askorbinowy</w:t>
      </w:r>
    </w:p>
    <w:p w14:paraId="6F3FD8A8" w14:textId="77777777" w:rsidR="00E96702" w:rsidRDefault="0095540B">
      <w:r>
        <w:t>Laktoza</w:t>
      </w:r>
    </w:p>
    <w:p w14:paraId="7F67A78E" w14:textId="77777777" w:rsidR="00E96702" w:rsidRDefault="00E96702"/>
    <w:p w14:paraId="4693DC9C" w14:textId="77777777" w:rsidR="00E96702" w:rsidRPr="00EC4F10" w:rsidRDefault="0095540B" w:rsidP="00EC4F10">
      <w:pPr>
        <w:rPr>
          <w:b/>
          <w:bCs/>
        </w:rPr>
      </w:pPr>
      <w:r w:rsidRPr="00EC4F10">
        <w:rPr>
          <w:b/>
          <w:bCs/>
        </w:rPr>
        <w:t>6.2</w:t>
      </w:r>
      <w:r w:rsidRPr="00EC4F10">
        <w:rPr>
          <w:b/>
          <w:bCs/>
        </w:rPr>
        <w:tab/>
        <w:t>Niezgodności farmaceutyczne</w:t>
      </w:r>
    </w:p>
    <w:p w14:paraId="31832769" w14:textId="77777777" w:rsidR="00E96702" w:rsidRDefault="00E96702">
      <w:pPr>
        <w:keepNext/>
      </w:pPr>
    </w:p>
    <w:p w14:paraId="0F8BBFB7" w14:textId="77777777" w:rsidR="00E96702" w:rsidRDefault="0095540B">
      <w:r>
        <w:t>Nie mieszać tej szczepionki z innymi produktami leczniczymi, ponieważ nie wykonywano badań dotyczących zgodności.</w:t>
      </w:r>
    </w:p>
    <w:p w14:paraId="7F46776A" w14:textId="77777777" w:rsidR="00E96702" w:rsidRDefault="00E96702"/>
    <w:p w14:paraId="4D601697" w14:textId="77777777" w:rsidR="00E96702" w:rsidRPr="00EC4F10" w:rsidRDefault="0095540B" w:rsidP="00EC4F10">
      <w:pPr>
        <w:rPr>
          <w:b/>
          <w:bCs/>
        </w:rPr>
      </w:pPr>
      <w:r w:rsidRPr="00EC4F10">
        <w:rPr>
          <w:b/>
          <w:bCs/>
        </w:rPr>
        <w:t>6.3</w:t>
      </w:r>
      <w:r w:rsidRPr="00EC4F10">
        <w:rPr>
          <w:b/>
          <w:bCs/>
        </w:rPr>
        <w:tab/>
        <w:t>Okres ważności</w:t>
      </w:r>
    </w:p>
    <w:p w14:paraId="7A4F8D12" w14:textId="77777777" w:rsidR="00E96702" w:rsidRDefault="00E96702">
      <w:pPr>
        <w:keepNext/>
      </w:pPr>
    </w:p>
    <w:p w14:paraId="58E3F328" w14:textId="27909D2C" w:rsidR="00E96702" w:rsidRDefault="00900E07">
      <w:r>
        <w:t>20</w:t>
      </w:r>
      <w:r w:rsidR="0095540B">
        <w:t> miesięcy.</w:t>
      </w:r>
    </w:p>
    <w:p w14:paraId="3BF43D0B" w14:textId="77777777" w:rsidR="00E96702" w:rsidRDefault="00E96702"/>
    <w:p w14:paraId="23CD20C1" w14:textId="02787AA6" w:rsidR="00E96702" w:rsidRDefault="0095540B">
      <w:r>
        <w:t>Po rekonstytucji zawiesinę należy wypić w ciągu 15 minut.</w:t>
      </w:r>
    </w:p>
    <w:p w14:paraId="0F6E4A62" w14:textId="77777777" w:rsidR="00E96702" w:rsidRDefault="00E96702"/>
    <w:p w14:paraId="152842E8" w14:textId="77777777" w:rsidR="00E96702" w:rsidRPr="00EC4F10" w:rsidRDefault="0095540B" w:rsidP="00EC4F10">
      <w:pPr>
        <w:rPr>
          <w:b/>
          <w:bCs/>
        </w:rPr>
      </w:pPr>
      <w:r w:rsidRPr="00EC4F10">
        <w:rPr>
          <w:b/>
          <w:bCs/>
        </w:rPr>
        <w:t>6.4</w:t>
      </w:r>
      <w:r w:rsidRPr="00EC4F10">
        <w:rPr>
          <w:b/>
          <w:bCs/>
        </w:rPr>
        <w:tab/>
        <w:t>Specjalne środki ostrożności podczas przechowywania</w:t>
      </w:r>
    </w:p>
    <w:p w14:paraId="449B85B0" w14:textId="77777777" w:rsidR="00E96702" w:rsidRDefault="00E96702">
      <w:pPr>
        <w:keepNext/>
      </w:pPr>
    </w:p>
    <w:p w14:paraId="1D648EC0" w14:textId="643E50C6" w:rsidR="00E96702" w:rsidRDefault="0095540B">
      <w:r>
        <w:t>Przechowywać w lodówce (2</w:t>
      </w:r>
      <w:r w:rsidR="000850EA">
        <w:t> </w:t>
      </w:r>
      <w:r>
        <w:t>°C — 8</w:t>
      </w:r>
      <w:r w:rsidR="000850EA">
        <w:t> </w:t>
      </w:r>
      <w:r>
        <w:t>°C).</w:t>
      </w:r>
    </w:p>
    <w:p w14:paraId="35C51F1D" w14:textId="5D359CF3" w:rsidR="00E96702" w:rsidRDefault="0095540B">
      <w:r>
        <w:t>Przechowywać w oryginalnym opakowaniu</w:t>
      </w:r>
      <w:r w:rsidR="00381852">
        <w:t xml:space="preserve"> w celu ochrony przed światłem</w:t>
      </w:r>
      <w:r w:rsidR="008E00E2">
        <w:t xml:space="preserve"> </w:t>
      </w:r>
      <w:r w:rsidR="008E00E2">
        <w:rPr>
          <w:noProof/>
        </w:rPr>
        <w:t>i wilgocią</w:t>
      </w:r>
      <w:r>
        <w:t>.</w:t>
      </w:r>
    </w:p>
    <w:p w14:paraId="1DCE6DD1" w14:textId="6305EEB2" w:rsidR="00381852" w:rsidRDefault="0095540B" w:rsidP="00381852">
      <w:pPr>
        <w:rPr>
          <w:noProof/>
        </w:rPr>
      </w:pPr>
      <w:r>
        <w:t>Nie narażać na działanie temperatury powyżej 25</w:t>
      </w:r>
      <w:r w:rsidR="000850EA">
        <w:t> </w:t>
      </w:r>
      <w:r>
        <w:t>°C.</w:t>
      </w:r>
      <w:r w:rsidR="00381852">
        <w:t xml:space="preserve"> </w:t>
      </w:r>
      <w:r w:rsidR="00C7145D">
        <w:rPr>
          <w:noProof/>
        </w:rPr>
        <w:t>Dane dotyczące stabilności wskazują, że</w:t>
      </w:r>
      <w:r w:rsidR="00955E96">
        <w:rPr>
          <w:noProof/>
        </w:rPr>
        <w:t> </w:t>
      </w:r>
      <w:r w:rsidR="00C7145D">
        <w:rPr>
          <w:noProof/>
        </w:rPr>
        <w:t>składniki szczepionki pozostają stabilne przez</w:t>
      </w:r>
      <w:r w:rsidR="00381852" w:rsidRPr="00E25405">
        <w:rPr>
          <w:noProof/>
        </w:rPr>
        <w:t xml:space="preserve"> </w:t>
      </w:r>
      <w:r w:rsidR="00381852">
        <w:rPr>
          <w:noProof/>
        </w:rPr>
        <w:t>12 </w:t>
      </w:r>
      <w:r w:rsidR="00C7145D">
        <w:rPr>
          <w:noProof/>
        </w:rPr>
        <w:t>godzin</w:t>
      </w:r>
      <w:r w:rsidR="00282A22">
        <w:rPr>
          <w:noProof/>
        </w:rPr>
        <w:t>, jeśli są</w:t>
      </w:r>
      <w:r w:rsidR="00381852" w:rsidRPr="00E25405">
        <w:rPr>
          <w:noProof/>
        </w:rPr>
        <w:t xml:space="preserve"> </w:t>
      </w:r>
      <w:r w:rsidR="00C7145D">
        <w:rPr>
          <w:noProof/>
        </w:rPr>
        <w:t>przechowywan</w:t>
      </w:r>
      <w:r w:rsidR="00282A22">
        <w:rPr>
          <w:noProof/>
        </w:rPr>
        <w:t>e</w:t>
      </w:r>
      <w:r w:rsidR="00C7145D">
        <w:rPr>
          <w:noProof/>
        </w:rPr>
        <w:t xml:space="preserve"> w </w:t>
      </w:r>
      <w:r w:rsidR="00381852" w:rsidRPr="00E25405">
        <w:rPr>
          <w:noProof/>
        </w:rPr>
        <w:t>temperatur</w:t>
      </w:r>
      <w:r w:rsidR="00C7145D">
        <w:rPr>
          <w:noProof/>
        </w:rPr>
        <w:t>ze</w:t>
      </w:r>
      <w:r w:rsidR="00381852" w:rsidRPr="00E25405">
        <w:rPr>
          <w:noProof/>
        </w:rPr>
        <w:t xml:space="preserve"> </w:t>
      </w:r>
      <w:r w:rsidR="00C7145D">
        <w:rPr>
          <w:noProof/>
        </w:rPr>
        <w:t>od </w:t>
      </w:r>
      <w:r w:rsidR="00381852">
        <w:rPr>
          <w:noProof/>
        </w:rPr>
        <w:t>8</w:t>
      </w:r>
      <w:r w:rsidR="000850EA">
        <w:rPr>
          <w:noProof/>
        </w:rPr>
        <w:t> </w:t>
      </w:r>
      <w:r w:rsidR="00381852" w:rsidRPr="00E25405">
        <w:rPr>
          <w:noProof/>
        </w:rPr>
        <w:t xml:space="preserve">°C </w:t>
      </w:r>
      <w:r w:rsidR="00C7145D">
        <w:rPr>
          <w:noProof/>
        </w:rPr>
        <w:t>d</w:t>
      </w:r>
      <w:r w:rsidR="00381852" w:rsidRPr="00E25405">
        <w:rPr>
          <w:noProof/>
        </w:rPr>
        <w:t xml:space="preserve">o </w:t>
      </w:r>
      <w:r w:rsidR="00381852">
        <w:rPr>
          <w:noProof/>
        </w:rPr>
        <w:t>25</w:t>
      </w:r>
      <w:r w:rsidR="000850EA">
        <w:rPr>
          <w:noProof/>
        </w:rPr>
        <w:t> </w:t>
      </w:r>
      <w:r w:rsidR="00381852" w:rsidRPr="00E25405">
        <w:rPr>
          <w:noProof/>
        </w:rPr>
        <w:t xml:space="preserve">°C. </w:t>
      </w:r>
      <w:r w:rsidR="00C7145D">
        <w:rPr>
          <w:noProof/>
        </w:rPr>
        <w:t>Pod koniec tego okresu produkt leczniczy</w:t>
      </w:r>
      <w:r w:rsidR="00381852" w:rsidRPr="00E25405">
        <w:rPr>
          <w:noProof/>
        </w:rPr>
        <w:t xml:space="preserve"> </w:t>
      </w:r>
      <w:r w:rsidR="00381852">
        <w:rPr>
          <w:noProof/>
        </w:rPr>
        <w:t>Vaxchora</w:t>
      </w:r>
      <w:r w:rsidR="00381852" w:rsidRPr="00E25405">
        <w:rPr>
          <w:noProof/>
        </w:rPr>
        <w:t xml:space="preserve"> </w:t>
      </w:r>
      <w:r w:rsidR="00C7145D">
        <w:rPr>
          <w:noProof/>
        </w:rPr>
        <w:t>należy natychmiast zużyć lub</w:t>
      </w:r>
      <w:r w:rsidR="00D72B83">
        <w:rPr>
          <w:noProof/>
        </w:rPr>
        <w:t> </w:t>
      </w:r>
      <w:r w:rsidR="00C7145D">
        <w:rPr>
          <w:noProof/>
        </w:rPr>
        <w:t>wyrzucić</w:t>
      </w:r>
      <w:r w:rsidR="00381852" w:rsidRPr="00E25405">
        <w:rPr>
          <w:noProof/>
        </w:rPr>
        <w:t xml:space="preserve">. </w:t>
      </w:r>
      <w:r w:rsidR="00282A22">
        <w:rPr>
          <w:noProof/>
        </w:rPr>
        <w:t>D</w:t>
      </w:r>
      <w:r w:rsidR="00955E96">
        <w:rPr>
          <w:noProof/>
        </w:rPr>
        <w:t xml:space="preserve">ane </w:t>
      </w:r>
      <w:r w:rsidR="00282A22">
        <w:rPr>
          <w:noProof/>
        </w:rPr>
        <w:t xml:space="preserve">te </w:t>
      </w:r>
      <w:r w:rsidR="00955E96">
        <w:rPr>
          <w:noProof/>
        </w:rPr>
        <w:t xml:space="preserve">mają </w:t>
      </w:r>
      <w:r w:rsidR="00282A22">
        <w:rPr>
          <w:noProof/>
        </w:rPr>
        <w:t>służyć</w:t>
      </w:r>
      <w:r w:rsidR="00955E96">
        <w:rPr>
          <w:noProof/>
        </w:rPr>
        <w:t xml:space="preserve"> osobom </w:t>
      </w:r>
      <w:r w:rsidR="00955E96">
        <w:t>należącym do fachowego personelu medycznego</w:t>
      </w:r>
      <w:r w:rsidR="00381852" w:rsidRPr="00E25405">
        <w:rPr>
          <w:noProof/>
        </w:rPr>
        <w:t xml:space="preserve"> </w:t>
      </w:r>
      <w:r w:rsidR="00282A22">
        <w:rPr>
          <w:noProof/>
        </w:rPr>
        <w:t>jako</w:t>
      </w:r>
      <w:r w:rsidR="00D72B83">
        <w:rPr>
          <w:noProof/>
        </w:rPr>
        <w:t> </w:t>
      </w:r>
      <w:r w:rsidR="00282A22">
        <w:rPr>
          <w:noProof/>
        </w:rPr>
        <w:t xml:space="preserve">wskazówka </w:t>
      </w:r>
      <w:r w:rsidR="00955E96">
        <w:rPr>
          <w:noProof/>
        </w:rPr>
        <w:t>wyłącznie w przypadku</w:t>
      </w:r>
      <w:r w:rsidR="00381852" w:rsidRPr="00E25405">
        <w:rPr>
          <w:noProof/>
        </w:rPr>
        <w:t xml:space="preserve"> </w:t>
      </w:r>
      <w:r w:rsidR="00955E96">
        <w:rPr>
          <w:noProof/>
        </w:rPr>
        <w:t>tymczaso</w:t>
      </w:r>
      <w:r w:rsidR="00476BD9">
        <w:rPr>
          <w:noProof/>
        </w:rPr>
        <w:t>w</w:t>
      </w:r>
      <w:r w:rsidR="00282A22">
        <w:rPr>
          <w:noProof/>
        </w:rPr>
        <w:t>ych wahań</w:t>
      </w:r>
      <w:r w:rsidR="00955E96">
        <w:rPr>
          <w:noProof/>
        </w:rPr>
        <w:t xml:space="preserve"> </w:t>
      </w:r>
      <w:r w:rsidR="00381852" w:rsidRPr="00E25405">
        <w:rPr>
          <w:noProof/>
        </w:rPr>
        <w:t>temperatur</w:t>
      </w:r>
      <w:r w:rsidR="007E3499">
        <w:rPr>
          <w:noProof/>
        </w:rPr>
        <w:t>y</w:t>
      </w:r>
      <w:r w:rsidR="00381852" w:rsidRPr="00E25405">
        <w:rPr>
          <w:noProof/>
        </w:rPr>
        <w:t>.</w:t>
      </w:r>
    </w:p>
    <w:p w14:paraId="66475A53" w14:textId="361BFDB8" w:rsidR="00E96702" w:rsidRDefault="00B445DE">
      <w:pPr>
        <w:rPr>
          <w:noProof/>
        </w:rPr>
      </w:pPr>
      <w:r>
        <w:t>Warunki przechowywania produktu leczniczego po rekonstytucji, patrz punkt 6.3</w:t>
      </w:r>
      <w:r w:rsidR="00FE2F42" w:rsidRPr="003614BE">
        <w:rPr>
          <w:noProof/>
        </w:rPr>
        <w:t>.</w:t>
      </w:r>
    </w:p>
    <w:p w14:paraId="5A61043B" w14:textId="77777777" w:rsidR="00E96702" w:rsidRDefault="00E96702"/>
    <w:p w14:paraId="56EC42B8" w14:textId="77777777" w:rsidR="00E96702" w:rsidRPr="00EC4F10" w:rsidRDefault="0095540B" w:rsidP="00EC4F10">
      <w:pPr>
        <w:rPr>
          <w:b/>
          <w:bCs/>
        </w:rPr>
      </w:pPr>
      <w:r w:rsidRPr="00EC4F10">
        <w:rPr>
          <w:b/>
          <w:bCs/>
        </w:rPr>
        <w:t>6.5</w:t>
      </w:r>
      <w:r w:rsidRPr="00EC4F10">
        <w:rPr>
          <w:b/>
          <w:bCs/>
        </w:rPr>
        <w:tab/>
        <w:t>Rodzaj i zawartość opakowania</w:t>
      </w:r>
    </w:p>
    <w:p w14:paraId="40C86D47" w14:textId="77777777" w:rsidR="00E96702" w:rsidRDefault="00E96702">
      <w:pPr>
        <w:keepNext/>
      </w:pPr>
    </w:p>
    <w:p w14:paraId="64150DDD" w14:textId="77777777" w:rsidR="00E96702" w:rsidRDefault="0095540B">
      <w:r>
        <w:t>Pudełko kartonowe zawierające jedną saszetkę z substancją czynną i jedną saszetkę z buforem.</w:t>
      </w:r>
    </w:p>
    <w:p w14:paraId="16C1C5A8" w14:textId="77777777" w:rsidR="00E96702" w:rsidRDefault="0095540B">
      <w:r>
        <w:t>Saszetka z substancją czynną zawiera 2 g proszku do sporządzania zawiesiny doustnej.</w:t>
      </w:r>
    </w:p>
    <w:p w14:paraId="22C886DD" w14:textId="77777777" w:rsidR="00E96702" w:rsidRDefault="0095540B">
      <w:r>
        <w:t>Saszetka z buforem zawiera 4,5 g proszku musującego.</w:t>
      </w:r>
    </w:p>
    <w:p w14:paraId="01EA950B" w14:textId="77777777" w:rsidR="00E96702" w:rsidRDefault="0095540B">
      <w:r>
        <w:t>Saszetka z substancją czynną jest wykonana z czterowarstwowej folii złożonej z zewnętrznej warstwy papieru, warstwy polietylenu o niskiej gęstości, warstwy folii aluminiowej i wewnętrznej warstwy polietylenu o niskiej gęstości.</w:t>
      </w:r>
    </w:p>
    <w:p w14:paraId="1F6488C9" w14:textId="77777777" w:rsidR="00E96702" w:rsidRDefault="0095540B">
      <w:r>
        <w:t>Saszetka z buforem jest wykonana z trójwarstwowej folii złożonej z zewnętrznej warstwy papieru, środkowej warstwy folii aluminiowej i wewnętrznej warstwy polietylenu o niskiej gęstości.</w:t>
      </w:r>
    </w:p>
    <w:p w14:paraId="6EE04CED" w14:textId="77777777" w:rsidR="00E96702" w:rsidRDefault="00E96702"/>
    <w:p w14:paraId="2DF42300" w14:textId="4A61CA10" w:rsidR="00E96702" w:rsidRDefault="0095540B">
      <w:r>
        <w:t>Wielkość opakowania: 1 zestaw 2 saszetek.</w:t>
      </w:r>
      <w:r w:rsidR="00D91544">
        <w:t xml:space="preserve"> Jedna dawka składa się z 2 saszetek (1 saszetka z czynnym składnikiem i 1 saszetka z buforem).</w:t>
      </w:r>
    </w:p>
    <w:p w14:paraId="09EF7711" w14:textId="77777777" w:rsidR="00E96702" w:rsidRDefault="00E96702"/>
    <w:p w14:paraId="42B78644" w14:textId="3092B902" w:rsidR="00E96702" w:rsidRPr="00EC4F10" w:rsidRDefault="0095540B" w:rsidP="00EC4F10">
      <w:pPr>
        <w:rPr>
          <w:b/>
          <w:bCs/>
        </w:rPr>
      </w:pPr>
      <w:r w:rsidRPr="00EC4F10">
        <w:rPr>
          <w:b/>
          <w:bCs/>
        </w:rPr>
        <w:t>6.6</w:t>
      </w:r>
      <w:r w:rsidRPr="00EC4F10">
        <w:rPr>
          <w:b/>
          <w:bCs/>
        </w:rPr>
        <w:tab/>
        <w:t>Specjalne środki ostrożności dotyczące usuwania i przygotowania do stosowania</w:t>
      </w:r>
    </w:p>
    <w:p w14:paraId="15A6B64C" w14:textId="77777777" w:rsidR="00E96702" w:rsidRDefault="00E96702">
      <w:pPr>
        <w:keepNext/>
      </w:pPr>
    </w:p>
    <w:p w14:paraId="37AC420C" w14:textId="74E1344E" w:rsidR="00E96702" w:rsidRDefault="0095540B">
      <w:r>
        <w:t xml:space="preserve">Ten produkt leczniczy zawiera organizmy modyfikowane genetycznie. </w:t>
      </w:r>
      <w:r w:rsidR="006A412A">
        <w:t xml:space="preserve">Wszelkie niewykorzystane resztki produktu leczniczego </w:t>
      </w:r>
      <w:r w:rsidR="00D91544">
        <w:t>lub </w:t>
      </w:r>
      <w:r w:rsidR="006A412A">
        <w:t>jego odpady</w:t>
      </w:r>
      <w:r w:rsidR="00D91544">
        <w:t xml:space="preserve"> </w:t>
      </w:r>
      <w:r>
        <w:t>należy usunąć zgodnie z lokalnymi wymogami bezpieczeństwa biologicznego.</w:t>
      </w:r>
    </w:p>
    <w:p w14:paraId="666EA84A" w14:textId="77777777" w:rsidR="00E96702" w:rsidRDefault="00E96702"/>
    <w:p w14:paraId="3E3B083C" w14:textId="7EA08B78" w:rsidR="00E96702" w:rsidRDefault="0095540B">
      <w:r>
        <w:t>W celu przygotowania szczepionki do podania saszetkę z substancją czynną i saszetkę z buforem wyjmuje się z lodówki i umieszcza w temperaturze 25</w:t>
      </w:r>
      <w:r w:rsidR="000850EA">
        <w:t> </w:t>
      </w:r>
      <w:r>
        <w:t>°C nie dłużej niż 12 godzin przed rekonstytucją.</w:t>
      </w:r>
    </w:p>
    <w:p w14:paraId="79B7A81B" w14:textId="117BED22" w:rsidR="00E96702" w:rsidRDefault="0095540B">
      <w:pPr>
        <w:rPr>
          <w:noProof/>
        </w:rPr>
      </w:pPr>
      <w:r>
        <w:t xml:space="preserve">Istotne jest wymieszanie zawartości saszetek w opisanej kolejności. Najpierw zawartość saszetki nr 1 z buforem (mającym postać białego lub białawego proszku) miesza się w kubku z 100 ml butelkowanej, niegazowanej </w:t>
      </w:r>
      <w:r w:rsidR="0030386F">
        <w:t xml:space="preserve">lub gazowanej </w:t>
      </w:r>
      <w:r>
        <w:t>wody, zimnej lub o temperaturze pokojowej (≤</w:t>
      </w:r>
      <w:r w:rsidR="000850EA">
        <w:t> </w:t>
      </w:r>
      <w:r>
        <w:t>25</w:t>
      </w:r>
      <w:r w:rsidR="000850EA">
        <w:t> </w:t>
      </w:r>
      <w:r>
        <w:t xml:space="preserve">°C). </w:t>
      </w:r>
      <w:r w:rsidR="009248C2">
        <w:t>WYŁĄCZNIE w przypadku dzieci w wieku od 2 do &lt;</w:t>
      </w:r>
      <w:r w:rsidR="000850EA">
        <w:t> </w:t>
      </w:r>
      <w:r w:rsidR="009248C2">
        <w:t xml:space="preserve">6 lat przed przejściem do następnego etapu należy wyrzucić połowę (50 ml) </w:t>
      </w:r>
      <w:r w:rsidR="00EF1597">
        <w:t>roztworu buf</w:t>
      </w:r>
      <w:r w:rsidR="00876D8E">
        <w:t>o</w:t>
      </w:r>
      <w:r w:rsidR="00EF1597">
        <w:t>r</w:t>
      </w:r>
      <w:r w:rsidR="00220F3E">
        <w:t>u</w:t>
      </w:r>
      <w:r w:rsidR="00EF1597">
        <w:t xml:space="preserve">. </w:t>
      </w:r>
      <w:r>
        <w:t xml:space="preserve">Następnie dodaje się zawartość saszetki nr 2 z substancją czynną (mającą postać białego lub beżowego proszku) i powstałą mieszaninę miesza się </w:t>
      </w:r>
      <w:r>
        <w:lastRenderedPageBreak/>
        <w:t xml:space="preserve">przez co najmniej 30 sekund. Po rekonstytucji szczepionka jest lekko mętną zawiesiną, która może zawierać pewną ilość białych cząstek stałych. </w:t>
      </w:r>
      <w:r w:rsidR="00EF1597">
        <w:t>W</w:t>
      </w:r>
      <w:r w:rsidR="000850EA">
        <w:t> </w:t>
      </w:r>
      <w:r w:rsidR="00EF1597">
        <w:t xml:space="preserve">razie potrzeby w tym momencie do zawiesiny można </w:t>
      </w:r>
      <w:r w:rsidR="00220F3E">
        <w:t>dodać</w:t>
      </w:r>
      <w:r w:rsidR="00866CE0">
        <w:t xml:space="preserve"> sacharozę (do 4 g / 1 łyżeczki) </w:t>
      </w:r>
      <w:r w:rsidR="003059E6">
        <w:t xml:space="preserve">lub słodzik stewiowy (nie więcej niż 1 gram / </w:t>
      </w:r>
      <w:r w:rsidR="003059E6" w:rsidRPr="003059E6">
        <w:t>¼</w:t>
      </w:r>
      <w:r w:rsidR="003059E6">
        <w:t> łyżeczki). NIE dodawać innych substancji słodzących, ponieważ może to obniżyć skuteczność działania szczepionki.</w:t>
      </w:r>
      <w:r w:rsidR="00EF1597">
        <w:t xml:space="preserve"> </w:t>
      </w:r>
      <w:r>
        <w:t>Tak sporządzoną dawkę należy podać w ciągu 15 minut od rekonstytucji.</w:t>
      </w:r>
      <w:r w:rsidR="00D91544">
        <w:t xml:space="preserve"> Na dnie kubka może pozostać pewna ilość osadu. Kubek należy umyć gorącą wodą z mydłem.</w:t>
      </w:r>
    </w:p>
    <w:p w14:paraId="5E66CB26" w14:textId="77777777" w:rsidR="00D91544" w:rsidRDefault="00D91544"/>
    <w:p w14:paraId="76D4792F" w14:textId="77777777" w:rsidR="00E96702" w:rsidRDefault="0095540B">
      <w:r>
        <w:t>Uwaga: jeśli saszetki zostaną rekonstytuowane w niewłaściwej kolejności, szczepionkę należy wyrzucić.</w:t>
      </w:r>
    </w:p>
    <w:p w14:paraId="5039F21D" w14:textId="77777777" w:rsidR="00E96702" w:rsidRDefault="00E96702"/>
    <w:p w14:paraId="5A0A2E0E" w14:textId="77777777" w:rsidR="00E96702" w:rsidRDefault="00E96702"/>
    <w:p w14:paraId="5395C206" w14:textId="77777777" w:rsidR="00E96702" w:rsidRPr="00EC4F10" w:rsidRDefault="0095540B" w:rsidP="00B95E8A">
      <w:pPr>
        <w:ind w:left="567" w:hanging="567"/>
        <w:rPr>
          <w:b/>
          <w:bCs/>
        </w:rPr>
      </w:pPr>
      <w:r w:rsidRPr="00EC4F10">
        <w:rPr>
          <w:b/>
          <w:bCs/>
        </w:rPr>
        <w:t>7.</w:t>
      </w:r>
      <w:r w:rsidRPr="00EC4F10">
        <w:rPr>
          <w:b/>
          <w:bCs/>
        </w:rPr>
        <w:tab/>
        <w:t>PODMIOT ODPOWIEDZIALNY POSIADAJĄCY POZWOLENIE NA DOPUSZCZENIE DO OBROTU</w:t>
      </w:r>
    </w:p>
    <w:p w14:paraId="33415272" w14:textId="77777777" w:rsidR="00E96702" w:rsidRDefault="00E96702">
      <w:pPr>
        <w:keepNext/>
      </w:pPr>
    </w:p>
    <w:p w14:paraId="6C04B953" w14:textId="77777777" w:rsidR="00AD0862" w:rsidRPr="00813D9A" w:rsidRDefault="00AD0862" w:rsidP="00AD0862">
      <w:pPr>
        <w:rPr>
          <w:lang w:val="en-US"/>
        </w:rPr>
      </w:pPr>
      <w:r w:rsidRPr="00813D9A">
        <w:rPr>
          <w:lang w:val="en-US"/>
        </w:rPr>
        <w:t>Bavarian Nordic A/S</w:t>
      </w:r>
    </w:p>
    <w:p w14:paraId="0C46A429" w14:textId="5A44F0D1" w:rsidR="00AD0862" w:rsidRPr="00813D9A" w:rsidRDefault="00AD0862" w:rsidP="00AD0862">
      <w:pPr>
        <w:rPr>
          <w:lang w:val="en-US"/>
        </w:rPr>
      </w:pPr>
      <w:r w:rsidRPr="00813D9A">
        <w:rPr>
          <w:lang w:val="en-US"/>
        </w:rPr>
        <w:t>Philip Heymans All</w:t>
      </w:r>
      <w:r>
        <w:rPr>
          <w:lang w:val="en-US"/>
        </w:rPr>
        <w:t>e</w:t>
      </w:r>
      <w:r w:rsidRPr="00813D9A">
        <w:rPr>
          <w:lang w:val="en-US"/>
        </w:rPr>
        <w:t xml:space="preserve"> 3</w:t>
      </w:r>
    </w:p>
    <w:p w14:paraId="0D1467E1" w14:textId="21D755FF" w:rsidR="00AD0862" w:rsidRPr="002051A8" w:rsidRDefault="00AD0862" w:rsidP="00AD0862">
      <w:r w:rsidRPr="002051A8">
        <w:t>DK-2900 Hellerup</w:t>
      </w:r>
    </w:p>
    <w:p w14:paraId="579D1534" w14:textId="63F58D45" w:rsidR="0011702B" w:rsidRPr="00FD21B6" w:rsidRDefault="00AD0862" w:rsidP="00AD0862">
      <w:r w:rsidRPr="002051A8">
        <w:t>Dania</w:t>
      </w:r>
    </w:p>
    <w:p w14:paraId="48745E91" w14:textId="77777777" w:rsidR="00E96702" w:rsidRDefault="00E96702"/>
    <w:p w14:paraId="335CC442" w14:textId="77777777" w:rsidR="00E96702" w:rsidRDefault="00E96702"/>
    <w:p w14:paraId="08E1DAD1" w14:textId="77777777" w:rsidR="00E96702" w:rsidRPr="00EC4F10" w:rsidRDefault="0095540B" w:rsidP="00EC4F10">
      <w:pPr>
        <w:rPr>
          <w:b/>
          <w:bCs/>
        </w:rPr>
      </w:pPr>
      <w:r w:rsidRPr="00EC4F10">
        <w:rPr>
          <w:b/>
          <w:bCs/>
        </w:rPr>
        <w:t>8.</w:t>
      </w:r>
      <w:r w:rsidRPr="00EC4F10">
        <w:rPr>
          <w:b/>
          <w:bCs/>
        </w:rPr>
        <w:tab/>
        <w:t>NUMER POZWOLENIA NA DOPUSZCZENIE DO OBROTU</w:t>
      </w:r>
    </w:p>
    <w:p w14:paraId="5B94384D" w14:textId="77777777" w:rsidR="00E96702" w:rsidRDefault="00E96702">
      <w:pPr>
        <w:keepNext/>
      </w:pPr>
    </w:p>
    <w:p w14:paraId="6040BA89" w14:textId="77777777" w:rsidR="00E96702" w:rsidRDefault="0095540B">
      <w:r>
        <w:t>EU/1/20/1423/001</w:t>
      </w:r>
    </w:p>
    <w:p w14:paraId="2E410E6F" w14:textId="77777777" w:rsidR="00E96702" w:rsidRDefault="00E96702"/>
    <w:p w14:paraId="10D38B0C" w14:textId="77777777" w:rsidR="00E96702" w:rsidRDefault="00E96702"/>
    <w:p w14:paraId="1E8A1338" w14:textId="77777777" w:rsidR="00E96702" w:rsidRPr="00EC4F10" w:rsidRDefault="0095540B" w:rsidP="00B95E8A">
      <w:pPr>
        <w:ind w:left="567" w:hanging="567"/>
        <w:rPr>
          <w:b/>
          <w:bCs/>
        </w:rPr>
      </w:pPr>
      <w:r w:rsidRPr="00EC4F10">
        <w:rPr>
          <w:b/>
          <w:bCs/>
        </w:rPr>
        <w:t>9.</w:t>
      </w:r>
      <w:r w:rsidRPr="00EC4F10">
        <w:rPr>
          <w:b/>
          <w:bCs/>
        </w:rPr>
        <w:tab/>
        <w:t>DATA WYDANIA PIERWSZEGO POZWOLENIA NA DOPUSZCZENIE DO OBROTU I DATA PRZEDŁUŻENIA POZWOLENIA</w:t>
      </w:r>
    </w:p>
    <w:p w14:paraId="3210063D" w14:textId="77777777" w:rsidR="00E96702" w:rsidRDefault="00E96702">
      <w:pPr>
        <w:keepNext/>
      </w:pPr>
    </w:p>
    <w:p w14:paraId="2BCC2329" w14:textId="77777777" w:rsidR="00E96702" w:rsidRDefault="0095540B">
      <w:r>
        <w:t xml:space="preserve">Data wydania pierwszego pozwolenia na dopuszczenie do obrotu: </w:t>
      </w:r>
      <w:r w:rsidR="00F53E75">
        <w:t>01</w:t>
      </w:r>
      <w:r w:rsidR="00F53E75" w:rsidRPr="00F53E75">
        <w:t xml:space="preserve"> kwietnia 20</w:t>
      </w:r>
      <w:r w:rsidR="00F53E75">
        <w:t>20</w:t>
      </w:r>
    </w:p>
    <w:p w14:paraId="516D9CEE" w14:textId="2651FA0D" w:rsidR="00E96702" w:rsidRDefault="006E4B26">
      <w:r>
        <w:t>Data ostatniego przedłużenia pozwolenia:</w:t>
      </w:r>
      <w:r w:rsidR="00593BC7">
        <w:t xml:space="preserve"> </w:t>
      </w:r>
      <w:r w:rsidR="00593BC7" w:rsidRPr="00E42AE7">
        <w:t>13</w:t>
      </w:r>
      <w:r w:rsidR="00593BC7">
        <w:t> </w:t>
      </w:r>
      <w:r w:rsidR="00593BC7" w:rsidRPr="00E42AE7">
        <w:t>stycznia</w:t>
      </w:r>
      <w:r w:rsidR="00593BC7">
        <w:t> </w:t>
      </w:r>
      <w:r w:rsidR="00593BC7" w:rsidRPr="00E42AE7">
        <w:t>2025</w:t>
      </w:r>
    </w:p>
    <w:p w14:paraId="0EDC2CCD" w14:textId="77777777" w:rsidR="00ED5A0D" w:rsidRDefault="00ED5A0D"/>
    <w:p w14:paraId="752A49C6" w14:textId="77777777" w:rsidR="00E96702" w:rsidRDefault="00E96702"/>
    <w:p w14:paraId="725D1FAC" w14:textId="77777777" w:rsidR="00E96702" w:rsidRPr="00EC4F10" w:rsidRDefault="0095540B" w:rsidP="00B95E8A">
      <w:pPr>
        <w:ind w:left="567" w:hanging="567"/>
        <w:rPr>
          <w:b/>
          <w:bCs/>
        </w:rPr>
      </w:pPr>
      <w:r w:rsidRPr="00EC4F10">
        <w:rPr>
          <w:b/>
          <w:bCs/>
        </w:rPr>
        <w:t>10.</w:t>
      </w:r>
      <w:r w:rsidRPr="00EC4F10">
        <w:rPr>
          <w:b/>
          <w:bCs/>
        </w:rPr>
        <w:tab/>
        <w:t>DATA ZATWIERDZENIA LUB CZĘŚCIOWEJ ZMIANY TEKSTU CHARAKTERYSTYKI PRODUKTU LECZNICZEGO</w:t>
      </w:r>
    </w:p>
    <w:p w14:paraId="7994F54E" w14:textId="77777777" w:rsidR="00E96702" w:rsidRDefault="00E96702">
      <w:pPr>
        <w:keepNext/>
      </w:pPr>
    </w:p>
    <w:p w14:paraId="1B2B4352" w14:textId="77777777" w:rsidR="009D2237" w:rsidRDefault="009D2237">
      <w:r w:rsidRPr="009D2237">
        <w:t xml:space="preserve">23 września 2025 r. </w:t>
      </w:r>
    </w:p>
    <w:p w14:paraId="6A8C4D5B" w14:textId="77777777" w:rsidR="009D2237" w:rsidRDefault="009D2237"/>
    <w:p w14:paraId="4EEBFEA5" w14:textId="65C25037" w:rsidR="00E96702" w:rsidRDefault="0095540B">
      <w:r>
        <w:t xml:space="preserve">Szczegółowe informacje o tym produkcie leczniczym są dostępne na stronie internetowej Europejskiej Agencji Leków </w:t>
      </w:r>
      <w:r w:rsidR="0040603F">
        <w:fldChar w:fldCharType="begin"/>
      </w:r>
      <w:r w:rsidR="0040603F">
        <w:instrText>HYPERLINK "https://www.ema.europa.eu"</w:instrText>
      </w:r>
      <w:r w:rsidR="0040603F">
        <w:fldChar w:fldCharType="separate"/>
      </w:r>
      <w:r w:rsidR="0040603F" w:rsidRPr="00096D21">
        <w:rPr>
          <w:rStyle w:val="Hyperlink"/>
          <w:noProof/>
          <w:szCs w:val="20"/>
          <w:lang w:eastAsia="pl-PL" w:bidi="pl-PL"/>
        </w:rPr>
        <w:t>https://www.ema.europa.eu</w:t>
      </w:r>
      <w:r w:rsidR="0040603F">
        <w:fldChar w:fldCharType="end"/>
      </w:r>
      <w:r>
        <w:t>.</w:t>
      </w:r>
    </w:p>
    <w:p w14:paraId="4E94ED1D" w14:textId="77777777" w:rsidR="00E96702" w:rsidRDefault="0095540B">
      <w:r>
        <w:br w:type="page"/>
      </w:r>
    </w:p>
    <w:p w14:paraId="42593DF6" w14:textId="77777777" w:rsidR="00E96702" w:rsidRDefault="00E96702"/>
    <w:p w14:paraId="74AAEAB1" w14:textId="77777777" w:rsidR="00E96702" w:rsidRDefault="00E96702"/>
    <w:p w14:paraId="5BFA90D2" w14:textId="77777777" w:rsidR="00E96702" w:rsidRDefault="00E96702"/>
    <w:p w14:paraId="3692A055" w14:textId="77777777" w:rsidR="00E96702" w:rsidRDefault="00E96702"/>
    <w:p w14:paraId="321DA0C4" w14:textId="77777777" w:rsidR="00E96702" w:rsidRDefault="00E96702"/>
    <w:p w14:paraId="35AD4869" w14:textId="77777777" w:rsidR="00E96702" w:rsidRDefault="00E96702"/>
    <w:p w14:paraId="53BFA961" w14:textId="77777777" w:rsidR="00E96702" w:rsidRDefault="00E96702"/>
    <w:p w14:paraId="7AD1C1C8" w14:textId="77777777" w:rsidR="00E96702" w:rsidRDefault="00E96702"/>
    <w:p w14:paraId="5C0403CD" w14:textId="77777777" w:rsidR="00E96702" w:rsidRDefault="00E96702"/>
    <w:p w14:paraId="2112A9EA" w14:textId="77777777" w:rsidR="00E96702" w:rsidRDefault="00E96702"/>
    <w:p w14:paraId="640D32B3" w14:textId="77777777" w:rsidR="00E96702" w:rsidRDefault="00E96702"/>
    <w:p w14:paraId="695EDBCF" w14:textId="77777777" w:rsidR="00E96702" w:rsidRDefault="00E96702"/>
    <w:p w14:paraId="77238BC8" w14:textId="77777777" w:rsidR="00E96702" w:rsidRDefault="00E96702"/>
    <w:p w14:paraId="29B673F7" w14:textId="77777777" w:rsidR="00E96702" w:rsidRDefault="00E96702"/>
    <w:p w14:paraId="578B8B64" w14:textId="77777777" w:rsidR="00E96702" w:rsidRDefault="00E96702"/>
    <w:p w14:paraId="1F6F722B" w14:textId="77777777" w:rsidR="00E96702" w:rsidRDefault="00E96702"/>
    <w:p w14:paraId="117B923F" w14:textId="77777777" w:rsidR="00E96702" w:rsidRDefault="00E96702"/>
    <w:p w14:paraId="4CA63E52" w14:textId="77777777" w:rsidR="00E96702" w:rsidRDefault="00E96702"/>
    <w:p w14:paraId="20B1BBEA" w14:textId="77777777" w:rsidR="00E96702" w:rsidRDefault="00E96702"/>
    <w:p w14:paraId="5D82B79A" w14:textId="77777777" w:rsidR="00E96702" w:rsidRDefault="00E96702"/>
    <w:p w14:paraId="7ACA869A" w14:textId="77777777" w:rsidR="00E96702" w:rsidRDefault="00E96702"/>
    <w:p w14:paraId="469AC538" w14:textId="77777777" w:rsidR="00E96702" w:rsidRDefault="00E96702"/>
    <w:p w14:paraId="3A8CD82D" w14:textId="77777777" w:rsidR="00E96702" w:rsidRDefault="0095540B" w:rsidP="00EC4F10">
      <w:pPr>
        <w:pStyle w:val="Title"/>
        <w:outlineLvl w:val="9"/>
      </w:pPr>
      <w:r>
        <w:t>ANEKS II</w:t>
      </w:r>
    </w:p>
    <w:p w14:paraId="484E003A" w14:textId="77777777" w:rsidR="00E96702" w:rsidRDefault="00E96702" w:rsidP="00EC4F10"/>
    <w:p w14:paraId="736B8EA7" w14:textId="77777777" w:rsidR="00E96702" w:rsidRDefault="0095540B" w:rsidP="00EC4F10">
      <w:pPr>
        <w:pStyle w:val="Heading1Indent"/>
        <w:outlineLvl w:val="9"/>
      </w:pPr>
      <w:r>
        <w:t>A.</w:t>
      </w:r>
      <w:r>
        <w:tab/>
        <w:t>WYTWÓRCA BIOLOGICZNEJ SUBSTANCJI CZYNNEJ ORAZ WYTWÓRCA ODPOWIEDZIALNY ZA ZWOLNIENIE SERII</w:t>
      </w:r>
    </w:p>
    <w:p w14:paraId="004C97DB" w14:textId="77777777" w:rsidR="00E96702" w:rsidRDefault="00E96702" w:rsidP="00EC4F10"/>
    <w:p w14:paraId="156A515A" w14:textId="77777777" w:rsidR="00E96702" w:rsidRDefault="0095540B" w:rsidP="00EC4F10">
      <w:pPr>
        <w:pStyle w:val="Heading1Indent"/>
        <w:outlineLvl w:val="9"/>
      </w:pPr>
      <w:r>
        <w:t>B.</w:t>
      </w:r>
      <w:r>
        <w:tab/>
        <w:t>WARUNKI LUB OGRANICZENIA DOTYCZĄCE ZAOPATRZENIA I STOSOWANIA</w:t>
      </w:r>
    </w:p>
    <w:p w14:paraId="2ABFA44B" w14:textId="77777777" w:rsidR="00E96702" w:rsidRDefault="00E96702" w:rsidP="00EC4F10"/>
    <w:p w14:paraId="150E94BE" w14:textId="77777777" w:rsidR="00E96702" w:rsidRDefault="0095540B" w:rsidP="00EC4F10">
      <w:pPr>
        <w:pStyle w:val="Heading1Indent"/>
        <w:outlineLvl w:val="9"/>
      </w:pPr>
      <w:r>
        <w:t>C.</w:t>
      </w:r>
      <w:r>
        <w:tab/>
        <w:t>INNE WARUNKI I WYMAGANIA DOTYCZĄCE DOPUSZCZENIA DO OBROTU</w:t>
      </w:r>
    </w:p>
    <w:p w14:paraId="6B6CEB40" w14:textId="77777777" w:rsidR="00E96702" w:rsidRDefault="00E96702" w:rsidP="00EC4F10"/>
    <w:p w14:paraId="4C89F939" w14:textId="77777777" w:rsidR="00E96702" w:rsidRDefault="0095540B" w:rsidP="00EC4F10">
      <w:pPr>
        <w:pStyle w:val="Heading1Indent"/>
        <w:outlineLvl w:val="9"/>
      </w:pPr>
      <w:r>
        <w:t>D.</w:t>
      </w:r>
      <w:r>
        <w:tab/>
        <w:t>WARUNKI LUB OGRANICZENIA DOTYCZĄCE BEZPIECZNEGO I SKUTECZNEGO STOSOWANIA PRODUKTU LECZNICZEGO</w:t>
      </w:r>
    </w:p>
    <w:p w14:paraId="642AED07" w14:textId="77777777" w:rsidR="00E96702" w:rsidRDefault="00E96702" w:rsidP="00EC4F10"/>
    <w:p w14:paraId="5DD3FFE8" w14:textId="77777777" w:rsidR="00E96702" w:rsidRDefault="0095540B">
      <w:pPr>
        <w:pStyle w:val="TitleB"/>
      </w:pPr>
      <w:r>
        <w:br w:type="page"/>
      </w:r>
      <w:r>
        <w:lastRenderedPageBreak/>
        <w:t>A.</w:t>
      </w:r>
      <w:r>
        <w:tab/>
        <w:t>WYTWÓRCA BIOLOGICZNEJ SUBSTANCJI CZYNNEJ ORAZ WYTWÓRCA ODPOWIEDZIALNY ZA ZWOLNIENIE SERII</w:t>
      </w:r>
    </w:p>
    <w:p w14:paraId="290D435F" w14:textId="77777777" w:rsidR="00E96702" w:rsidRDefault="00E96702"/>
    <w:p w14:paraId="7CDE500D" w14:textId="77777777" w:rsidR="00E96702" w:rsidRDefault="0095540B">
      <w:pPr>
        <w:pStyle w:val="HeadingUnderlined"/>
      </w:pPr>
      <w:r>
        <w:t>Nazwa i adres wytwórcy biologicznej substancji czynnej</w:t>
      </w:r>
    </w:p>
    <w:p w14:paraId="77B1F9EE" w14:textId="77777777" w:rsidR="00E96702" w:rsidRDefault="00E96702"/>
    <w:p w14:paraId="01CE1F5E" w14:textId="2DB1A257" w:rsidR="00E96702" w:rsidRPr="006932CC" w:rsidRDefault="00CD38A0">
      <w:r w:rsidRPr="006932CC">
        <w:t>Bavarian Nordic</w:t>
      </w:r>
      <w:r w:rsidR="0095540B" w:rsidRPr="006932CC">
        <w:t xml:space="preserve"> Berna GmbH</w:t>
      </w:r>
    </w:p>
    <w:p w14:paraId="5B960F05" w14:textId="77777777" w:rsidR="00E96702" w:rsidRPr="006932CC" w:rsidRDefault="0095540B">
      <w:r w:rsidRPr="006932CC">
        <w:t>Oberriedstrasse 68</w:t>
      </w:r>
    </w:p>
    <w:p w14:paraId="26CB23AA" w14:textId="77777777" w:rsidR="00E96702" w:rsidRPr="000850EA" w:rsidRDefault="0095540B">
      <w:r w:rsidRPr="000850EA">
        <w:t>CH-3174 Thörishaus</w:t>
      </w:r>
    </w:p>
    <w:p w14:paraId="5A23EA00" w14:textId="77777777" w:rsidR="00E96702" w:rsidRPr="000850EA" w:rsidRDefault="0095540B">
      <w:r w:rsidRPr="000850EA">
        <w:t>Szwajcaria</w:t>
      </w:r>
    </w:p>
    <w:p w14:paraId="2ED4F983" w14:textId="77777777" w:rsidR="00E96702" w:rsidRPr="000850EA" w:rsidRDefault="00E96702"/>
    <w:p w14:paraId="3B74E591" w14:textId="77777777" w:rsidR="00E96702" w:rsidRDefault="0095540B">
      <w:pPr>
        <w:pStyle w:val="HeadingUnderlined"/>
      </w:pPr>
      <w:r>
        <w:t>Nazwa i adres wytwórcy odpowiedzialnego za zwolnienie serii</w:t>
      </w:r>
    </w:p>
    <w:p w14:paraId="0E97B063" w14:textId="77777777" w:rsidR="00E96702" w:rsidRDefault="00E96702"/>
    <w:p w14:paraId="6C568F18" w14:textId="77777777" w:rsidR="00E96702" w:rsidRPr="0089777F" w:rsidRDefault="0095540B">
      <w:pPr>
        <w:rPr>
          <w:lang w:val="fr-CH"/>
        </w:rPr>
      </w:pPr>
      <w:r w:rsidRPr="0089777F">
        <w:rPr>
          <w:lang w:val="fr-CH"/>
        </w:rPr>
        <w:t xml:space="preserve">IL-CSM </w:t>
      </w:r>
      <w:proofErr w:type="spellStart"/>
      <w:r w:rsidRPr="0089777F">
        <w:rPr>
          <w:lang w:val="fr-CH"/>
        </w:rPr>
        <w:t>GmbH</w:t>
      </w:r>
      <w:proofErr w:type="spellEnd"/>
    </w:p>
    <w:p w14:paraId="4FBC7059" w14:textId="77777777" w:rsidR="00E96702" w:rsidRPr="0089777F" w:rsidRDefault="0095540B">
      <w:pPr>
        <w:rPr>
          <w:lang w:val="fr-CH"/>
        </w:rPr>
      </w:pPr>
      <w:r w:rsidRPr="0089777F">
        <w:rPr>
          <w:lang w:val="fr-CH"/>
        </w:rPr>
        <w:t>Marie-Curie-Strasse 8</w:t>
      </w:r>
    </w:p>
    <w:p w14:paraId="0B2EDE14" w14:textId="77777777" w:rsidR="00E96702" w:rsidRPr="000850EA" w:rsidRDefault="0095540B">
      <w:r w:rsidRPr="000850EA">
        <w:t>D</w:t>
      </w:r>
      <w:r w:rsidRPr="000850EA">
        <w:noBreakHyphen/>
        <w:t>79539 Lörrach</w:t>
      </w:r>
    </w:p>
    <w:p w14:paraId="200A4D48" w14:textId="77777777" w:rsidR="00E96702" w:rsidRPr="00956145" w:rsidRDefault="0095540B">
      <w:r w:rsidRPr="00956145">
        <w:t>Niemcy</w:t>
      </w:r>
    </w:p>
    <w:p w14:paraId="1FB3784A" w14:textId="5102B53C" w:rsidR="00E96702" w:rsidRDefault="00E96702"/>
    <w:p w14:paraId="431A7C5C" w14:textId="77777777" w:rsidR="00E96702" w:rsidRDefault="00E96702"/>
    <w:p w14:paraId="6A21A837" w14:textId="77777777" w:rsidR="00E96702" w:rsidRDefault="0095540B">
      <w:pPr>
        <w:pStyle w:val="TitleB"/>
      </w:pPr>
      <w:r>
        <w:t>B.</w:t>
      </w:r>
      <w:r>
        <w:tab/>
        <w:t>WARUNKI LUB OGRANICZENIA DOTYCZĄCE ZAOPATRZENIA I STOSOWANIA</w:t>
      </w:r>
    </w:p>
    <w:p w14:paraId="283F3B2C" w14:textId="77777777" w:rsidR="00E96702" w:rsidRDefault="00E96702"/>
    <w:p w14:paraId="1CCDBDC2" w14:textId="77777777" w:rsidR="00E96702" w:rsidRDefault="0095540B">
      <w:r>
        <w:t>Produkt leczniczy wydawany na receptę.</w:t>
      </w:r>
    </w:p>
    <w:p w14:paraId="1BF58CDA" w14:textId="77777777" w:rsidR="00E96702" w:rsidRDefault="00E96702"/>
    <w:p w14:paraId="362944B6" w14:textId="77777777" w:rsidR="00E96702" w:rsidRDefault="0095540B">
      <w:pPr>
        <w:pStyle w:val="Bullet"/>
        <w:rPr>
          <w:rStyle w:val="Strong"/>
        </w:rPr>
      </w:pPr>
      <w:r>
        <w:rPr>
          <w:rStyle w:val="Strong"/>
        </w:rPr>
        <w:t>Oficjalne zwalnianie serii</w:t>
      </w:r>
    </w:p>
    <w:p w14:paraId="683DD8D3" w14:textId="77777777" w:rsidR="00E96702" w:rsidRDefault="00E96702"/>
    <w:p w14:paraId="27B40745" w14:textId="364D37E2" w:rsidR="00E96702" w:rsidRDefault="0095540B">
      <w:r>
        <w:t>Zgodnie z art.</w:t>
      </w:r>
      <w:r w:rsidR="000850EA">
        <w:t> </w:t>
      </w:r>
      <w:r>
        <w:t>114 dyrektywy</w:t>
      </w:r>
      <w:r w:rsidR="000850EA">
        <w:t> </w:t>
      </w:r>
      <w:r>
        <w:t>2001/83/WE, oficjalne zwalnianie serii będzie przeprowadzane przez laboratorium państwowe lub przez laboratorium wyznaczone do tego celu.</w:t>
      </w:r>
    </w:p>
    <w:p w14:paraId="4087BC21" w14:textId="77777777" w:rsidR="00E96702" w:rsidRDefault="00E96702"/>
    <w:p w14:paraId="32492491" w14:textId="77777777" w:rsidR="00E96702" w:rsidRDefault="00E96702"/>
    <w:p w14:paraId="3B0C9BB4" w14:textId="77777777" w:rsidR="00E96702" w:rsidRDefault="0095540B">
      <w:pPr>
        <w:pStyle w:val="TitleB"/>
      </w:pPr>
      <w:r>
        <w:t>C.</w:t>
      </w:r>
      <w:r>
        <w:tab/>
        <w:t>INNE WARUNKI I WYMAGANIA DOTYCZĄCE DOPUSZCZENIA DO OBROTU</w:t>
      </w:r>
    </w:p>
    <w:p w14:paraId="6DBE17BD" w14:textId="77777777" w:rsidR="00E96702" w:rsidRDefault="00E96702"/>
    <w:p w14:paraId="30A19536" w14:textId="77777777" w:rsidR="00E96702" w:rsidRPr="00AD0862" w:rsidRDefault="0095540B">
      <w:pPr>
        <w:pStyle w:val="Bullet"/>
        <w:rPr>
          <w:rStyle w:val="Strong"/>
          <w:lang w:val="en-US"/>
        </w:rPr>
      </w:pPr>
      <w:r>
        <w:rPr>
          <w:rStyle w:val="Strong"/>
        </w:rPr>
        <w:t xml:space="preserve">Okresowe raporty o bezpieczeństwie stosowania (ang. </w:t>
      </w:r>
      <w:r w:rsidRPr="00AD0862">
        <w:rPr>
          <w:rStyle w:val="Strong"/>
          <w:lang w:val="en-US"/>
        </w:rPr>
        <w:t>Periodic safety update reports, PSURs)</w:t>
      </w:r>
    </w:p>
    <w:p w14:paraId="41E613A8" w14:textId="77777777" w:rsidR="00E96702" w:rsidRPr="00AD0862" w:rsidRDefault="00E96702">
      <w:pPr>
        <w:rPr>
          <w:lang w:val="en-US"/>
        </w:rPr>
      </w:pPr>
    </w:p>
    <w:p w14:paraId="328CE21C" w14:textId="5147A565" w:rsidR="00E96702" w:rsidRDefault="0095540B">
      <w:r>
        <w:t>Wymagania do przedłożenia okresowych raportów o bezpieczeństwie stosowania tego produktu leczniczego są określone w wykazie unijnych dat referencyjnych (wykaz EURD), o którym mowa w art.</w:t>
      </w:r>
      <w:r w:rsidR="000850EA">
        <w:t> </w:t>
      </w:r>
      <w:r>
        <w:t>107c ust.</w:t>
      </w:r>
      <w:r w:rsidR="000850EA">
        <w:t> </w:t>
      </w:r>
      <w:r>
        <w:t>7 dyrektywy</w:t>
      </w:r>
      <w:r w:rsidR="000850EA">
        <w:t> </w:t>
      </w:r>
      <w:r>
        <w:t>2001/83/WE i jego kolejnych aktualizacjach ogłaszanych na europejskiej stronie internetowej dotyczącej leków.</w:t>
      </w:r>
    </w:p>
    <w:p w14:paraId="61CB09FC" w14:textId="77777777" w:rsidR="00E96702" w:rsidRDefault="00E96702"/>
    <w:p w14:paraId="1BD325D4" w14:textId="77777777" w:rsidR="00E96702" w:rsidRDefault="00E96702"/>
    <w:p w14:paraId="0E5EE825" w14:textId="77777777" w:rsidR="00E96702" w:rsidRDefault="0095540B">
      <w:pPr>
        <w:pStyle w:val="TitleB"/>
      </w:pPr>
      <w:r>
        <w:t>D.</w:t>
      </w:r>
      <w:r>
        <w:tab/>
        <w:t>WARUNKI LUB OGRANICZENIA DOTYCZĄCE BEZPIECZNEGO I SKUTECZNEGO STOSOWANIA PRODUKTU LECZNICZEGO</w:t>
      </w:r>
    </w:p>
    <w:p w14:paraId="69FC9AC5" w14:textId="77777777" w:rsidR="00E96702" w:rsidRDefault="00E96702">
      <w:pPr>
        <w:keepNext/>
      </w:pPr>
    </w:p>
    <w:p w14:paraId="1ACA74C6" w14:textId="77777777" w:rsidR="00E96702" w:rsidRDefault="0095540B">
      <w:pPr>
        <w:pStyle w:val="Bullet"/>
        <w:keepNext/>
        <w:rPr>
          <w:rStyle w:val="Strong"/>
        </w:rPr>
      </w:pPr>
      <w:r>
        <w:rPr>
          <w:rStyle w:val="Strong"/>
        </w:rPr>
        <w:t>Plan zarządzania ryzykiem (ang. Risk Management Plan, RMP)</w:t>
      </w:r>
    </w:p>
    <w:p w14:paraId="63EE9769" w14:textId="77777777" w:rsidR="00E96702" w:rsidRDefault="00E96702">
      <w:pPr>
        <w:keepNext/>
      </w:pPr>
    </w:p>
    <w:p w14:paraId="53337BEC" w14:textId="77777777" w:rsidR="00E96702" w:rsidRDefault="0095540B">
      <w: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7925F255" w14:textId="77777777" w:rsidR="00E96702" w:rsidRDefault="00E96702"/>
    <w:p w14:paraId="3FCEB2C5" w14:textId="77777777" w:rsidR="00E96702" w:rsidRDefault="0095540B">
      <w:r>
        <w:t>Uaktualniony RMP należy przedstawiać:</w:t>
      </w:r>
    </w:p>
    <w:p w14:paraId="77AD0E33" w14:textId="77777777" w:rsidR="00E96702" w:rsidRDefault="0095540B">
      <w:pPr>
        <w:pStyle w:val="Bullet"/>
      </w:pPr>
      <w:r>
        <w:t>na żądanie Europejskiej Agencji Leków;</w:t>
      </w:r>
    </w:p>
    <w:p w14:paraId="4506A42D" w14:textId="77777777" w:rsidR="00E96702" w:rsidRDefault="0095540B">
      <w:pPr>
        <w:pStyle w:val="Bullet"/>
      </w:pPr>
      <w: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2AD530AF" w14:textId="77777777" w:rsidR="00E96702" w:rsidRDefault="00E96702"/>
    <w:p w14:paraId="4FB97759" w14:textId="77777777" w:rsidR="00E96702" w:rsidRDefault="0095540B">
      <w:pPr>
        <w:pStyle w:val="Bullet"/>
        <w:rPr>
          <w:rStyle w:val="Strong"/>
        </w:rPr>
      </w:pPr>
      <w:r>
        <w:rPr>
          <w:rStyle w:val="Strong"/>
        </w:rPr>
        <w:t>Dodatkowe działania w celu minimalizacji ryzyka</w:t>
      </w:r>
    </w:p>
    <w:p w14:paraId="19248001" w14:textId="77777777" w:rsidR="00E96702" w:rsidRDefault="00E96702"/>
    <w:p w14:paraId="284F64B5" w14:textId="77777777" w:rsidR="00E96702" w:rsidRDefault="0095540B">
      <w:r>
        <w:lastRenderedPageBreak/>
        <w:t>Przed wprowadzeniem produktu leczniczego Vaxchora na rynek w każdym państwie członkowskim podmiot odpowiedzialny musi uzgodnić treść i format programu edukacyjnego, z uwzględnieniem środków komunikacji, metod dystrybucji i pozostałych aspektów programu, z właściwym organem krajowym.</w:t>
      </w:r>
    </w:p>
    <w:p w14:paraId="08D72C07" w14:textId="77777777" w:rsidR="00E96702" w:rsidRDefault="00E96702"/>
    <w:p w14:paraId="41C0CBD4" w14:textId="77777777" w:rsidR="00E96702" w:rsidRDefault="0095540B">
      <w:r>
        <w:t>Ten program edukacyjny ma na celu minimalizację błędów w stosowaniu leku podczas rekonstytucji i używania produktu.</w:t>
      </w:r>
    </w:p>
    <w:p w14:paraId="1C586234" w14:textId="77777777" w:rsidR="00E96702" w:rsidRDefault="00E96702"/>
    <w:p w14:paraId="05BC24BC" w14:textId="0E711EA7" w:rsidR="00E96702" w:rsidRDefault="0095540B">
      <w:r>
        <w:t xml:space="preserve">Podmiot odpowiedzialny powinien zapewnić, że w każdym państwie członkowskim, w którym </w:t>
      </w:r>
      <w:r w:rsidR="006E4B26">
        <w:t>szczepionka</w:t>
      </w:r>
      <w:r>
        <w:t xml:space="preserve"> został</w:t>
      </w:r>
      <w:r w:rsidR="006E4B26">
        <w:t>a</w:t>
      </w:r>
      <w:r>
        <w:t xml:space="preserve"> dopuszczon</w:t>
      </w:r>
      <w:r w:rsidR="006E4B26">
        <w:t>a</w:t>
      </w:r>
      <w:r>
        <w:t xml:space="preserve"> do obrotu, wszystkie osoby należące do fachowego personelu medycznego, które będą przepisywać </w:t>
      </w:r>
      <w:r w:rsidR="006E4B26">
        <w:t>tę szczepionkę</w:t>
      </w:r>
      <w:r>
        <w:t xml:space="preserve"> i wszyscy pacjenci/opiekunowie, którzy będą go stosować, zostali zaopatrzeni w następujący pakiet edukacyjny / mają dostęp do następującego pakietu edukacyjnego:</w:t>
      </w:r>
    </w:p>
    <w:p w14:paraId="1DD9EA7C" w14:textId="77777777" w:rsidR="00E96702" w:rsidRDefault="00E96702"/>
    <w:p w14:paraId="4C0554A3" w14:textId="77777777" w:rsidR="00E96702" w:rsidRDefault="0095540B">
      <w:pPr>
        <w:pStyle w:val="Bullet"/>
      </w:pPr>
      <w:r>
        <w:t xml:space="preserve">Materiały edukacyjne dla </w:t>
      </w:r>
      <w:r w:rsidR="000F5C23" w:rsidRPr="000F5C23">
        <w:t>osób należących do fachowego personelu medycznego</w:t>
      </w:r>
    </w:p>
    <w:p w14:paraId="038CD6E6" w14:textId="77777777" w:rsidR="00E96702" w:rsidRDefault="0095540B">
      <w:pPr>
        <w:pStyle w:val="Bullet"/>
      </w:pPr>
      <w:r>
        <w:t>Pakiet informacyjny dla pacjenta</w:t>
      </w:r>
    </w:p>
    <w:p w14:paraId="4D1CD553" w14:textId="77777777" w:rsidR="00E96702" w:rsidRDefault="00E96702"/>
    <w:p w14:paraId="6630AB97" w14:textId="77777777" w:rsidR="00E96702" w:rsidRDefault="0095540B">
      <w:pPr>
        <w:pStyle w:val="HeadingStrong"/>
      </w:pPr>
      <w:r>
        <w:t xml:space="preserve">Materiały edukacyjne dla </w:t>
      </w:r>
      <w:r w:rsidR="000F5C23" w:rsidRPr="000F5C23">
        <w:t>osób należących do fachowego personelu medycznego</w:t>
      </w:r>
      <w:r>
        <w:t>:</w:t>
      </w:r>
    </w:p>
    <w:p w14:paraId="7433A2E8" w14:textId="77777777" w:rsidR="00E96702" w:rsidRDefault="0095540B">
      <w:pPr>
        <w:pStyle w:val="Bullet"/>
      </w:pPr>
      <w:r>
        <w:t>Charakterystyka produktu leczniczego</w:t>
      </w:r>
    </w:p>
    <w:p w14:paraId="7BFDA36D" w14:textId="77777777" w:rsidR="00E96702" w:rsidRDefault="0095540B">
      <w:pPr>
        <w:pStyle w:val="Bullet"/>
      </w:pPr>
      <w:r>
        <w:t>Poradnik dla osób należących do fachowego personelu medycznego</w:t>
      </w:r>
    </w:p>
    <w:p w14:paraId="4C738442" w14:textId="5097D203" w:rsidR="00E96702" w:rsidRDefault="0095540B">
      <w:pPr>
        <w:pStyle w:val="Bullet"/>
      </w:pPr>
      <w:r>
        <w:t>Poradnik dla pacjenta</w:t>
      </w:r>
    </w:p>
    <w:p w14:paraId="6B60A6D0" w14:textId="77777777" w:rsidR="006E22F1" w:rsidRDefault="006E22F1" w:rsidP="00A13F2C">
      <w:pPr>
        <w:pStyle w:val="Bullet"/>
        <w:numPr>
          <w:ilvl w:val="0"/>
          <w:numId w:val="0"/>
        </w:numPr>
      </w:pPr>
    </w:p>
    <w:p w14:paraId="06A5B4F7" w14:textId="77777777" w:rsidR="00E96702" w:rsidRDefault="0095540B">
      <w:pPr>
        <w:pStyle w:val="Bullet"/>
        <w:rPr>
          <w:rStyle w:val="Strong"/>
        </w:rPr>
      </w:pPr>
      <w:r>
        <w:rPr>
          <w:rStyle w:val="Strong"/>
        </w:rPr>
        <w:t>Kluczowe informacje, które powinien zawierać poradnik dla osób należących do fachowego personelu medycznego:</w:t>
      </w:r>
    </w:p>
    <w:p w14:paraId="1E1C2B2B" w14:textId="50D774E4" w:rsidR="00E96702" w:rsidRDefault="0095540B" w:rsidP="00DA6878">
      <w:pPr>
        <w:pStyle w:val="Bullet2"/>
        <w:numPr>
          <w:ilvl w:val="0"/>
          <w:numId w:val="21"/>
        </w:numPr>
      </w:pPr>
      <w:r>
        <w:t xml:space="preserve">Istotne </w:t>
      </w:r>
      <w:r w:rsidR="00684BBA">
        <w:t xml:space="preserve">potencjalne </w:t>
      </w:r>
      <w:r>
        <w:t>ryzyko błędów w stosowaniu leku podczas rekonstytucji i używan</w:t>
      </w:r>
      <w:r w:rsidR="006E4B26">
        <w:t>i</w:t>
      </w:r>
      <w:r>
        <w:t xml:space="preserve">a </w:t>
      </w:r>
      <w:r w:rsidR="006E4B26">
        <w:t>szczepionki</w:t>
      </w:r>
      <w:r>
        <w:t>.</w:t>
      </w:r>
    </w:p>
    <w:p w14:paraId="39B0D661" w14:textId="06B97430" w:rsidR="000F5C23" w:rsidRDefault="000F5C23" w:rsidP="00DA6878">
      <w:pPr>
        <w:pStyle w:val="Bullet2"/>
        <w:numPr>
          <w:ilvl w:val="0"/>
          <w:numId w:val="21"/>
        </w:numPr>
      </w:pPr>
      <w:r>
        <w:t>Zwiększone potencjalne ryzyko błędów w stosowaniu leku w razie przygotow</w:t>
      </w:r>
      <w:r w:rsidR="00FD344D">
        <w:t>yw</w:t>
      </w:r>
      <w:r>
        <w:t>ania szczepionki i</w:t>
      </w:r>
      <w:r w:rsidR="000850EA">
        <w:t> </w:t>
      </w:r>
      <w:r>
        <w:t>podawania jej dzieciom w wieku od 2 do &lt;</w:t>
      </w:r>
      <w:r w:rsidR="000850EA">
        <w:t> </w:t>
      </w:r>
      <w:r w:rsidR="006D5B86">
        <w:t>6</w:t>
      </w:r>
      <w:r>
        <w:t> lat.</w:t>
      </w:r>
    </w:p>
    <w:p w14:paraId="501D2533" w14:textId="77777777" w:rsidR="00E96702" w:rsidRDefault="0095540B" w:rsidP="00DA6878">
      <w:pPr>
        <w:pStyle w:val="Bullet2"/>
        <w:numPr>
          <w:ilvl w:val="0"/>
          <w:numId w:val="21"/>
        </w:numPr>
      </w:pPr>
      <w:r>
        <w:t>Konieczność poinformowania pacjentów/opiekunów o instrukcjach dotyczących rekonstytucji i wymogu ich przestrzegania.</w:t>
      </w:r>
    </w:p>
    <w:p w14:paraId="0928E6D4" w14:textId="74AC3EEB" w:rsidR="00E96702" w:rsidRDefault="0095540B" w:rsidP="00DA6878">
      <w:pPr>
        <w:pStyle w:val="Bullet2"/>
        <w:numPr>
          <w:ilvl w:val="0"/>
          <w:numId w:val="21"/>
        </w:numPr>
      </w:pPr>
      <w:r>
        <w:t xml:space="preserve">Osoby należące do fachowego personelu medycznego powinny doradzić pacjentom i ich opiekunom, jak rekonstytuować i podawać </w:t>
      </w:r>
      <w:r w:rsidR="00002460">
        <w:t>szczepionkę</w:t>
      </w:r>
      <w:r>
        <w:t>.</w:t>
      </w:r>
    </w:p>
    <w:p w14:paraId="012C0991" w14:textId="0EF6B363" w:rsidR="00E96702" w:rsidRDefault="0095540B" w:rsidP="00DA6878">
      <w:pPr>
        <w:pStyle w:val="Bullet2"/>
        <w:numPr>
          <w:ilvl w:val="0"/>
          <w:numId w:val="21"/>
        </w:numPr>
      </w:pPr>
      <w:r>
        <w:t xml:space="preserve">Szczegółowy opis procedur podawania </w:t>
      </w:r>
      <w:r w:rsidR="00002460">
        <w:t>szczepionki</w:t>
      </w:r>
      <w:r>
        <w:t>.</w:t>
      </w:r>
    </w:p>
    <w:p w14:paraId="1177BC25" w14:textId="77777777" w:rsidR="00E96702" w:rsidRDefault="00E96702"/>
    <w:p w14:paraId="3979A153" w14:textId="77777777" w:rsidR="00E96702" w:rsidRDefault="0095540B">
      <w:pPr>
        <w:pStyle w:val="HeadingStrong"/>
      </w:pPr>
      <w:r>
        <w:t>Pakiet informacyjny dla pacjenta:</w:t>
      </w:r>
    </w:p>
    <w:p w14:paraId="0A2EAFE1" w14:textId="77777777" w:rsidR="00E96702" w:rsidRDefault="0095540B" w:rsidP="00DA6878">
      <w:pPr>
        <w:pStyle w:val="Bullet2"/>
        <w:keepNext/>
        <w:numPr>
          <w:ilvl w:val="0"/>
          <w:numId w:val="22"/>
        </w:numPr>
      </w:pPr>
      <w:r>
        <w:t>Ulotka informacyjna dla pacjenta</w:t>
      </w:r>
    </w:p>
    <w:p w14:paraId="3C1E07E1" w14:textId="77777777" w:rsidR="00E96702" w:rsidRDefault="0095540B" w:rsidP="00DA6878">
      <w:pPr>
        <w:pStyle w:val="Bullet2"/>
        <w:keepNext/>
        <w:numPr>
          <w:ilvl w:val="0"/>
          <w:numId w:val="22"/>
        </w:numPr>
      </w:pPr>
      <w:r>
        <w:t>Poradnik dla pacjenta/opiekuna</w:t>
      </w:r>
    </w:p>
    <w:p w14:paraId="672124F8" w14:textId="77777777" w:rsidR="00091F56" w:rsidRDefault="00091F56" w:rsidP="00DA6878">
      <w:pPr>
        <w:pStyle w:val="Bullet2"/>
        <w:keepNext/>
        <w:numPr>
          <w:ilvl w:val="0"/>
          <w:numId w:val="0"/>
        </w:numPr>
        <w:ind w:left="1134"/>
      </w:pPr>
    </w:p>
    <w:p w14:paraId="7D941CF3" w14:textId="77777777" w:rsidR="00E96702" w:rsidRDefault="0095540B">
      <w:pPr>
        <w:pStyle w:val="Bullet"/>
        <w:keepNext/>
        <w:rPr>
          <w:rStyle w:val="Strong"/>
        </w:rPr>
      </w:pPr>
      <w:r>
        <w:rPr>
          <w:rStyle w:val="Strong"/>
        </w:rPr>
        <w:t>Kluczowe informacje, które powinien zawierać poradnik dla pacjenta/opiekuna:</w:t>
      </w:r>
    </w:p>
    <w:p w14:paraId="362794D5" w14:textId="294C93BD" w:rsidR="00E96702" w:rsidRDefault="0095540B" w:rsidP="00DA6878">
      <w:pPr>
        <w:pStyle w:val="Bullet2"/>
        <w:keepNext/>
        <w:numPr>
          <w:ilvl w:val="0"/>
          <w:numId w:val="23"/>
        </w:numPr>
      </w:pPr>
      <w:r>
        <w:t xml:space="preserve">Konieczność rekonstytucji i podawania </w:t>
      </w:r>
      <w:r w:rsidR="002A09C1">
        <w:t xml:space="preserve">szczepionki </w:t>
      </w:r>
      <w:r>
        <w:t>zgodnie z instrukcjami.</w:t>
      </w:r>
    </w:p>
    <w:p w14:paraId="27858147" w14:textId="4C00727E" w:rsidR="006D5B86" w:rsidRDefault="00FD344D" w:rsidP="00DA6878">
      <w:pPr>
        <w:pStyle w:val="Bullet2"/>
        <w:keepNext/>
        <w:numPr>
          <w:ilvl w:val="0"/>
          <w:numId w:val="23"/>
        </w:numPr>
      </w:pPr>
      <w:r>
        <w:t>Konieczność zwrócenia szczególnej na instrukcje w </w:t>
      </w:r>
      <w:r w:rsidR="006D5B86" w:rsidRPr="006D5B86">
        <w:t>razie przygotow</w:t>
      </w:r>
      <w:r>
        <w:t>yw</w:t>
      </w:r>
      <w:r w:rsidR="006D5B86" w:rsidRPr="006D5B86">
        <w:t>ania szczepionki i</w:t>
      </w:r>
      <w:r w:rsidR="000850EA">
        <w:t> </w:t>
      </w:r>
      <w:r w:rsidR="006D5B86" w:rsidRPr="006D5B86">
        <w:t>podawania jej dzieciom w</w:t>
      </w:r>
      <w:r w:rsidR="000850EA">
        <w:t> </w:t>
      </w:r>
      <w:r w:rsidR="006D5B86" w:rsidRPr="006D5B86">
        <w:t>wieku od 2 do &lt;</w:t>
      </w:r>
      <w:r w:rsidR="000850EA">
        <w:t> </w:t>
      </w:r>
      <w:r w:rsidR="006D5B86">
        <w:t>6 </w:t>
      </w:r>
      <w:r w:rsidR="006D5B86" w:rsidRPr="006D5B86">
        <w:t>lat</w:t>
      </w:r>
      <w:r>
        <w:t>.</w:t>
      </w:r>
    </w:p>
    <w:p w14:paraId="47BD48B9" w14:textId="79CC8B07" w:rsidR="00E96702" w:rsidRDefault="0095540B" w:rsidP="00DA6878">
      <w:pPr>
        <w:pStyle w:val="Bullet2"/>
        <w:keepNext/>
        <w:numPr>
          <w:ilvl w:val="0"/>
          <w:numId w:val="23"/>
        </w:numPr>
      </w:pPr>
      <w:r>
        <w:t xml:space="preserve">Szczegółowy opis sposobu samodzielnego przyjmowania </w:t>
      </w:r>
      <w:r w:rsidR="002A09C1">
        <w:t>szczepionki</w:t>
      </w:r>
      <w:r>
        <w:t>.</w:t>
      </w:r>
    </w:p>
    <w:p w14:paraId="439BC96F" w14:textId="77777777" w:rsidR="00E96702" w:rsidRDefault="0095540B" w:rsidP="00DA6878">
      <w:pPr>
        <w:pStyle w:val="Bullet2"/>
        <w:numPr>
          <w:ilvl w:val="0"/>
          <w:numId w:val="23"/>
        </w:numPr>
      </w:pPr>
      <w:r>
        <w:t>Istotność zgłaszania błędów w stosowaniu leku.</w:t>
      </w:r>
    </w:p>
    <w:p w14:paraId="4A8B7433" w14:textId="77777777" w:rsidR="00E96702" w:rsidRDefault="00E96702"/>
    <w:p w14:paraId="62F5B04D" w14:textId="77777777" w:rsidR="00E96702" w:rsidRDefault="0095540B">
      <w:r>
        <w:br w:type="page"/>
      </w:r>
    </w:p>
    <w:p w14:paraId="07C516AB" w14:textId="77777777" w:rsidR="00305193" w:rsidRDefault="00305193" w:rsidP="00305193">
      <w:pPr>
        <w:rPr>
          <w:noProof/>
        </w:rPr>
      </w:pPr>
    </w:p>
    <w:p w14:paraId="2C8A777B" w14:textId="77777777" w:rsidR="003C3EB6" w:rsidRPr="00412450" w:rsidRDefault="003C3EB6" w:rsidP="00305193">
      <w:pPr>
        <w:rPr>
          <w:noProof/>
        </w:rPr>
      </w:pPr>
    </w:p>
    <w:p w14:paraId="2F035006" w14:textId="77777777" w:rsidR="00305193" w:rsidRPr="00412450" w:rsidRDefault="00305193" w:rsidP="00305193">
      <w:pPr>
        <w:rPr>
          <w:noProof/>
        </w:rPr>
      </w:pPr>
    </w:p>
    <w:p w14:paraId="2D21CEF9" w14:textId="77777777" w:rsidR="00305193" w:rsidRPr="00EB595B" w:rsidRDefault="00305193" w:rsidP="00305193">
      <w:pPr>
        <w:rPr>
          <w:noProof/>
        </w:rPr>
      </w:pPr>
    </w:p>
    <w:p w14:paraId="050DE34D" w14:textId="77777777" w:rsidR="00305193" w:rsidRPr="008A1008" w:rsidRDefault="00305193" w:rsidP="00305193">
      <w:pPr>
        <w:rPr>
          <w:noProof/>
        </w:rPr>
      </w:pPr>
    </w:p>
    <w:p w14:paraId="00D5C756" w14:textId="77777777" w:rsidR="00305193" w:rsidRPr="006B4557" w:rsidRDefault="00305193" w:rsidP="00305193"/>
    <w:p w14:paraId="244CD0DC" w14:textId="77777777" w:rsidR="00305193" w:rsidRPr="006B4557" w:rsidRDefault="00305193" w:rsidP="00305193"/>
    <w:p w14:paraId="31F55E9E" w14:textId="77777777" w:rsidR="00305193" w:rsidRPr="006B4557" w:rsidRDefault="00305193" w:rsidP="00305193"/>
    <w:p w14:paraId="2D3B9872" w14:textId="77777777" w:rsidR="00305193" w:rsidRPr="006B4557" w:rsidRDefault="00305193" w:rsidP="00305193"/>
    <w:p w14:paraId="625422B8" w14:textId="77777777" w:rsidR="00305193" w:rsidRPr="006B4557" w:rsidRDefault="00305193" w:rsidP="00305193"/>
    <w:p w14:paraId="50C4D21C" w14:textId="77777777" w:rsidR="00305193" w:rsidRPr="00BC6DC2" w:rsidRDefault="00305193" w:rsidP="00305193">
      <w:pPr>
        <w:rPr>
          <w:noProof/>
        </w:rPr>
      </w:pPr>
    </w:p>
    <w:p w14:paraId="29BD557D" w14:textId="77777777" w:rsidR="00305193" w:rsidRPr="00157895" w:rsidRDefault="00305193" w:rsidP="00305193">
      <w:pPr>
        <w:rPr>
          <w:noProof/>
        </w:rPr>
      </w:pPr>
    </w:p>
    <w:p w14:paraId="5F8563AA" w14:textId="77777777" w:rsidR="00305193" w:rsidRPr="001F6423" w:rsidRDefault="00305193" w:rsidP="00305193">
      <w:pPr>
        <w:rPr>
          <w:noProof/>
        </w:rPr>
      </w:pPr>
    </w:p>
    <w:p w14:paraId="1B4D66FF" w14:textId="77777777" w:rsidR="00305193" w:rsidRPr="001F6423" w:rsidRDefault="00305193" w:rsidP="00305193">
      <w:pPr>
        <w:rPr>
          <w:noProof/>
        </w:rPr>
      </w:pPr>
    </w:p>
    <w:p w14:paraId="0375103E" w14:textId="77777777" w:rsidR="00305193" w:rsidRPr="006B4557" w:rsidRDefault="00305193" w:rsidP="00305193">
      <w:pPr>
        <w:rPr>
          <w:noProof/>
        </w:rPr>
      </w:pPr>
    </w:p>
    <w:p w14:paraId="3CFCD891" w14:textId="77777777" w:rsidR="00305193" w:rsidRPr="006B4557" w:rsidRDefault="00305193" w:rsidP="00305193">
      <w:pPr>
        <w:rPr>
          <w:noProof/>
        </w:rPr>
      </w:pPr>
    </w:p>
    <w:p w14:paraId="4B0CF570" w14:textId="77777777" w:rsidR="00305193" w:rsidRPr="006B4557" w:rsidRDefault="00305193" w:rsidP="00305193">
      <w:pPr>
        <w:rPr>
          <w:noProof/>
        </w:rPr>
      </w:pPr>
    </w:p>
    <w:p w14:paraId="4B309D75" w14:textId="77777777" w:rsidR="00305193" w:rsidRPr="006B4557" w:rsidRDefault="00305193" w:rsidP="00EC4F10">
      <w:pPr>
        <w:rPr>
          <w:b/>
          <w:noProof/>
        </w:rPr>
      </w:pPr>
    </w:p>
    <w:p w14:paraId="23156E31" w14:textId="77777777" w:rsidR="00305193" w:rsidRPr="006B4557" w:rsidRDefault="00305193" w:rsidP="00EC4F10">
      <w:pPr>
        <w:rPr>
          <w:b/>
          <w:noProof/>
        </w:rPr>
      </w:pPr>
    </w:p>
    <w:p w14:paraId="08311BBB" w14:textId="77777777" w:rsidR="00305193" w:rsidRPr="006B4557" w:rsidRDefault="00305193" w:rsidP="00EC4F10">
      <w:pPr>
        <w:rPr>
          <w:b/>
          <w:noProof/>
        </w:rPr>
      </w:pPr>
    </w:p>
    <w:p w14:paraId="5F0184D0" w14:textId="77777777" w:rsidR="00305193" w:rsidRPr="006B4557" w:rsidRDefault="00305193" w:rsidP="00EC4F10">
      <w:pPr>
        <w:rPr>
          <w:b/>
          <w:noProof/>
        </w:rPr>
      </w:pPr>
    </w:p>
    <w:p w14:paraId="5850FC06" w14:textId="77777777" w:rsidR="00305193" w:rsidRPr="006B4557" w:rsidRDefault="00305193" w:rsidP="00EC4F10">
      <w:pPr>
        <w:rPr>
          <w:b/>
          <w:noProof/>
        </w:rPr>
      </w:pPr>
    </w:p>
    <w:p w14:paraId="35E15190" w14:textId="77777777" w:rsidR="00305193" w:rsidRPr="006B4557" w:rsidRDefault="00305193" w:rsidP="00EC4F10">
      <w:pPr>
        <w:rPr>
          <w:b/>
          <w:noProof/>
        </w:rPr>
      </w:pPr>
    </w:p>
    <w:p w14:paraId="6FE998A1" w14:textId="2F311C23" w:rsidR="0088689D" w:rsidRPr="00A13F2C" w:rsidRDefault="0088689D" w:rsidP="005D7848">
      <w:pPr>
        <w:jc w:val="center"/>
        <w:rPr>
          <w:b/>
          <w:bCs/>
        </w:rPr>
      </w:pPr>
      <w:r w:rsidRPr="00A13F2C">
        <w:rPr>
          <w:b/>
          <w:bCs/>
        </w:rPr>
        <w:t>ANEKS</w:t>
      </w:r>
      <w:r w:rsidR="00D53449" w:rsidRPr="00A13F2C">
        <w:rPr>
          <w:b/>
          <w:bCs/>
        </w:rPr>
        <w:t> </w:t>
      </w:r>
      <w:r w:rsidRPr="00A13F2C">
        <w:rPr>
          <w:b/>
          <w:bCs/>
        </w:rPr>
        <w:t>III</w:t>
      </w:r>
    </w:p>
    <w:p w14:paraId="6F9155D7" w14:textId="77777777" w:rsidR="0088689D" w:rsidRPr="006B4557" w:rsidRDefault="0088689D" w:rsidP="00EC4F10">
      <w:pPr>
        <w:rPr>
          <w:b/>
          <w:noProof/>
        </w:rPr>
      </w:pPr>
    </w:p>
    <w:p w14:paraId="3F25CEB4" w14:textId="5D74C50E" w:rsidR="00305193" w:rsidRPr="00425690" w:rsidRDefault="0088689D" w:rsidP="005D7848">
      <w:pPr>
        <w:jc w:val="center"/>
        <w:rPr>
          <w:b/>
          <w:noProof/>
          <w:highlight w:val="yellow"/>
        </w:rPr>
      </w:pPr>
      <w:r>
        <w:rPr>
          <w:b/>
          <w:noProof/>
        </w:rPr>
        <w:t>OZNAKOWANIE OPAKOWAŃ I</w:t>
      </w:r>
      <w:r w:rsidR="000850EA">
        <w:rPr>
          <w:b/>
          <w:noProof/>
        </w:rPr>
        <w:t> </w:t>
      </w:r>
      <w:r>
        <w:rPr>
          <w:b/>
          <w:noProof/>
        </w:rPr>
        <w:t>ULOTKA DLA PACJENTA</w:t>
      </w:r>
    </w:p>
    <w:p w14:paraId="2877A316" w14:textId="77777777" w:rsidR="00305193" w:rsidRPr="006B4557" w:rsidRDefault="00305193" w:rsidP="00305193">
      <w:pPr>
        <w:rPr>
          <w:b/>
          <w:noProof/>
        </w:rPr>
      </w:pPr>
      <w:r w:rsidRPr="006B4557">
        <w:rPr>
          <w:b/>
          <w:noProof/>
        </w:rPr>
        <w:br w:type="page"/>
      </w:r>
    </w:p>
    <w:p w14:paraId="7AB05767" w14:textId="77777777" w:rsidR="00305193" w:rsidRPr="006B4557" w:rsidRDefault="00305193" w:rsidP="00EC4F10">
      <w:pPr>
        <w:rPr>
          <w:b/>
          <w:noProof/>
        </w:rPr>
      </w:pPr>
    </w:p>
    <w:p w14:paraId="5A16115D" w14:textId="77777777" w:rsidR="00305193" w:rsidRPr="006B4557" w:rsidRDefault="00305193" w:rsidP="00EC4F10">
      <w:pPr>
        <w:rPr>
          <w:b/>
          <w:noProof/>
        </w:rPr>
      </w:pPr>
    </w:p>
    <w:p w14:paraId="1BA4FBDF" w14:textId="77777777" w:rsidR="00305193" w:rsidRPr="006B4557" w:rsidRDefault="00305193" w:rsidP="00EC4F10">
      <w:pPr>
        <w:rPr>
          <w:b/>
          <w:noProof/>
        </w:rPr>
      </w:pPr>
    </w:p>
    <w:p w14:paraId="235F60BF" w14:textId="77777777" w:rsidR="00305193" w:rsidRPr="006B4557" w:rsidRDefault="00305193" w:rsidP="00EC4F10">
      <w:pPr>
        <w:rPr>
          <w:b/>
          <w:noProof/>
        </w:rPr>
      </w:pPr>
    </w:p>
    <w:p w14:paraId="1D0F44D9" w14:textId="77777777" w:rsidR="00305193" w:rsidRPr="006B4557" w:rsidRDefault="00305193" w:rsidP="00EC4F10">
      <w:pPr>
        <w:rPr>
          <w:b/>
          <w:noProof/>
        </w:rPr>
      </w:pPr>
    </w:p>
    <w:p w14:paraId="6DD0FAEB" w14:textId="77777777" w:rsidR="00305193" w:rsidRPr="006B4557" w:rsidRDefault="00305193" w:rsidP="00EC4F10">
      <w:pPr>
        <w:rPr>
          <w:b/>
          <w:noProof/>
        </w:rPr>
      </w:pPr>
    </w:p>
    <w:p w14:paraId="0536EB28" w14:textId="77777777" w:rsidR="00305193" w:rsidRPr="006B4557" w:rsidRDefault="00305193" w:rsidP="00EC4F10">
      <w:pPr>
        <w:rPr>
          <w:b/>
          <w:noProof/>
        </w:rPr>
      </w:pPr>
    </w:p>
    <w:p w14:paraId="26E812A8" w14:textId="77777777" w:rsidR="00305193" w:rsidRPr="006B4557" w:rsidRDefault="00305193" w:rsidP="00EC4F10">
      <w:pPr>
        <w:rPr>
          <w:b/>
          <w:noProof/>
        </w:rPr>
      </w:pPr>
    </w:p>
    <w:p w14:paraId="3020888E" w14:textId="77777777" w:rsidR="00305193" w:rsidRPr="006B4557" w:rsidRDefault="00305193" w:rsidP="00EC4F10">
      <w:pPr>
        <w:rPr>
          <w:b/>
          <w:noProof/>
        </w:rPr>
      </w:pPr>
    </w:p>
    <w:p w14:paraId="6B237B09" w14:textId="77777777" w:rsidR="00305193" w:rsidRPr="006B4557" w:rsidRDefault="00305193" w:rsidP="00EC4F10">
      <w:pPr>
        <w:rPr>
          <w:b/>
          <w:noProof/>
        </w:rPr>
      </w:pPr>
    </w:p>
    <w:p w14:paraId="4B34051A" w14:textId="77777777" w:rsidR="00305193" w:rsidRPr="006B4557" w:rsidRDefault="00305193" w:rsidP="00EC4F10">
      <w:pPr>
        <w:rPr>
          <w:b/>
          <w:noProof/>
        </w:rPr>
      </w:pPr>
    </w:p>
    <w:p w14:paraId="25B4819A" w14:textId="77777777" w:rsidR="00305193" w:rsidRPr="006B4557" w:rsidRDefault="00305193" w:rsidP="00EC4F10">
      <w:pPr>
        <w:rPr>
          <w:b/>
          <w:noProof/>
        </w:rPr>
      </w:pPr>
    </w:p>
    <w:p w14:paraId="18DCAB8B" w14:textId="77777777" w:rsidR="00305193" w:rsidRPr="006B4557" w:rsidRDefault="00305193" w:rsidP="00EC4F10">
      <w:pPr>
        <w:rPr>
          <w:b/>
          <w:noProof/>
        </w:rPr>
      </w:pPr>
    </w:p>
    <w:p w14:paraId="64ADA89E" w14:textId="77777777" w:rsidR="00305193" w:rsidRPr="006B4557" w:rsidRDefault="00305193" w:rsidP="00EC4F10">
      <w:pPr>
        <w:rPr>
          <w:b/>
          <w:noProof/>
        </w:rPr>
      </w:pPr>
    </w:p>
    <w:p w14:paraId="752AAD48" w14:textId="77777777" w:rsidR="00305193" w:rsidRPr="006B4557" w:rsidRDefault="00305193" w:rsidP="00EC4F10">
      <w:pPr>
        <w:rPr>
          <w:b/>
          <w:noProof/>
        </w:rPr>
      </w:pPr>
    </w:p>
    <w:p w14:paraId="014694FA" w14:textId="77777777" w:rsidR="00305193" w:rsidRPr="006B4557" w:rsidRDefault="00305193" w:rsidP="00EC4F10">
      <w:pPr>
        <w:rPr>
          <w:b/>
          <w:noProof/>
        </w:rPr>
      </w:pPr>
    </w:p>
    <w:p w14:paraId="0BCDEB01" w14:textId="77777777" w:rsidR="00305193" w:rsidRPr="006B4557" w:rsidRDefault="00305193" w:rsidP="00EC4F10">
      <w:pPr>
        <w:rPr>
          <w:b/>
          <w:noProof/>
        </w:rPr>
      </w:pPr>
    </w:p>
    <w:p w14:paraId="75BD30F8" w14:textId="77777777" w:rsidR="00305193" w:rsidRPr="006B4557" w:rsidRDefault="00305193" w:rsidP="00EC4F10">
      <w:pPr>
        <w:rPr>
          <w:b/>
          <w:noProof/>
        </w:rPr>
      </w:pPr>
    </w:p>
    <w:p w14:paraId="760C9ADB" w14:textId="77777777" w:rsidR="00305193" w:rsidRPr="006B4557" w:rsidRDefault="00305193" w:rsidP="00EC4F10">
      <w:pPr>
        <w:rPr>
          <w:b/>
          <w:noProof/>
        </w:rPr>
      </w:pPr>
    </w:p>
    <w:p w14:paraId="5C9DB66C" w14:textId="77777777" w:rsidR="00305193" w:rsidRPr="006B4557" w:rsidRDefault="00305193" w:rsidP="00EC4F10">
      <w:pPr>
        <w:rPr>
          <w:b/>
          <w:noProof/>
        </w:rPr>
      </w:pPr>
    </w:p>
    <w:p w14:paraId="296C389C" w14:textId="77777777" w:rsidR="00305193" w:rsidRPr="006B4557" w:rsidRDefault="00305193" w:rsidP="00EC4F10">
      <w:pPr>
        <w:rPr>
          <w:b/>
          <w:noProof/>
        </w:rPr>
      </w:pPr>
    </w:p>
    <w:p w14:paraId="37C47750" w14:textId="77777777" w:rsidR="00305193" w:rsidRDefault="00305193" w:rsidP="00EC4F10">
      <w:pPr>
        <w:rPr>
          <w:b/>
          <w:noProof/>
        </w:rPr>
      </w:pPr>
    </w:p>
    <w:p w14:paraId="755B4668" w14:textId="77777777" w:rsidR="003C3EB6" w:rsidRPr="006B4557" w:rsidRDefault="003C3EB6" w:rsidP="00EC4F10">
      <w:pPr>
        <w:rPr>
          <w:b/>
          <w:noProof/>
        </w:rPr>
      </w:pPr>
    </w:p>
    <w:p w14:paraId="07220C36" w14:textId="762B0A0A" w:rsidR="00305193" w:rsidRPr="006B4557" w:rsidRDefault="00305193" w:rsidP="00051B34">
      <w:pPr>
        <w:pStyle w:val="TitleA"/>
        <w:rPr>
          <w:noProof/>
        </w:rPr>
      </w:pPr>
      <w:r w:rsidRPr="006B4557">
        <w:rPr>
          <w:noProof/>
        </w:rPr>
        <w:t>A.</w:t>
      </w:r>
      <w:r>
        <w:rPr>
          <w:noProof/>
        </w:rPr>
        <w:t xml:space="preserve"> OZNAKOWANIE</w:t>
      </w:r>
    </w:p>
    <w:p w14:paraId="1DED68E7" w14:textId="6040E670" w:rsidR="00963FE1" w:rsidRDefault="0095540B" w:rsidP="00963FE1">
      <w:pPr>
        <w:pStyle w:val="HeadingStrLAB"/>
      </w:pPr>
      <w:r>
        <w:br w:type="page"/>
      </w:r>
      <w:r w:rsidR="00963FE1">
        <w:lastRenderedPageBreak/>
        <w:t>INFORMACJE ZAMIESZCZANE NA OPAKOWANIACH ZEWNĘTRZNYCH</w:t>
      </w:r>
    </w:p>
    <w:p w14:paraId="37DE2442" w14:textId="77777777" w:rsidR="00963FE1" w:rsidRPr="00A13F2C" w:rsidRDefault="00963FE1" w:rsidP="00963FE1">
      <w:pPr>
        <w:pStyle w:val="HeadingStrLAB"/>
        <w:rPr>
          <w:b w:val="0"/>
          <w:bCs w:val="0"/>
        </w:rPr>
      </w:pPr>
    </w:p>
    <w:p w14:paraId="6021D69C" w14:textId="77777777" w:rsidR="00963FE1" w:rsidRDefault="00963FE1" w:rsidP="00963FE1">
      <w:pPr>
        <w:pStyle w:val="HeadingStrLAB"/>
      </w:pPr>
      <w:r>
        <w:t>Pojedyncze pudełko kartonowe</w:t>
      </w:r>
    </w:p>
    <w:p w14:paraId="7828BA58" w14:textId="77777777" w:rsidR="00963FE1" w:rsidRDefault="00963FE1"/>
    <w:p w14:paraId="72F6F5A0" w14:textId="77777777" w:rsidR="00963FE1" w:rsidRDefault="00963FE1"/>
    <w:p w14:paraId="0730DEB7" w14:textId="77777777" w:rsidR="00E96702" w:rsidRDefault="0095540B" w:rsidP="00EC4F10">
      <w:pPr>
        <w:pStyle w:val="Heading1LAB"/>
        <w:outlineLvl w:val="9"/>
      </w:pPr>
      <w:r>
        <w:t>1.</w:t>
      </w:r>
      <w:r>
        <w:tab/>
        <w:t>NAZWA PRODUKTU LECZNICZEGO</w:t>
      </w:r>
    </w:p>
    <w:p w14:paraId="78DCBA0A" w14:textId="77777777" w:rsidR="00E96702" w:rsidRDefault="00E96702">
      <w:pPr>
        <w:keepNext/>
      </w:pPr>
    </w:p>
    <w:p w14:paraId="46DA0E3D" w14:textId="77777777" w:rsidR="00E96702" w:rsidRDefault="0095540B">
      <w:r>
        <w:t>Vaxchora</w:t>
      </w:r>
    </w:p>
    <w:p w14:paraId="366116B3" w14:textId="77777777" w:rsidR="00E96702" w:rsidRDefault="0095540B">
      <w:r>
        <w:t>Proszek musujący i proszek do sporządzania zawiesiny doustnej</w:t>
      </w:r>
    </w:p>
    <w:p w14:paraId="45B09104" w14:textId="77777777" w:rsidR="00E96702" w:rsidRDefault="0095540B">
      <w:r>
        <w:t>Szczepionka przeciw cholerze (rekombinowana, żywa, doustna)</w:t>
      </w:r>
    </w:p>
    <w:p w14:paraId="21B824F1" w14:textId="77777777" w:rsidR="00E96702" w:rsidRDefault="00E96702"/>
    <w:p w14:paraId="306DE6E7" w14:textId="77777777" w:rsidR="00E96702" w:rsidRDefault="00E96702"/>
    <w:p w14:paraId="033FEBFC" w14:textId="77777777" w:rsidR="00E96702" w:rsidRDefault="0095540B" w:rsidP="00EC4F10">
      <w:pPr>
        <w:pStyle w:val="Heading1LAB"/>
        <w:outlineLvl w:val="9"/>
      </w:pPr>
      <w:r>
        <w:t>2.</w:t>
      </w:r>
      <w:r>
        <w:tab/>
        <w:t>ZAWARTOŚĆ SUBSTANCJI CZYNNEJ</w:t>
      </w:r>
    </w:p>
    <w:p w14:paraId="464CE1A3" w14:textId="77777777" w:rsidR="00E96702" w:rsidRDefault="00E96702">
      <w:pPr>
        <w:keepNext/>
      </w:pPr>
    </w:p>
    <w:p w14:paraId="0E7901D0" w14:textId="3A5C9B17" w:rsidR="00E96702" w:rsidRDefault="0095540B">
      <w:r>
        <w:t>Od 4 ×</w:t>
      </w:r>
      <w:r w:rsidR="000850EA">
        <w:t> </w:t>
      </w:r>
      <w:r>
        <w:t>10</w:t>
      </w:r>
      <w:r>
        <w:rPr>
          <w:rStyle w:val="Superscript"/>
        </w:rPr>
        <w:t>8</w:t>
      </w:r>
      <w:r>
        <w:t xml:space="preserve"> do 2 ×</w:t>
      </w:r>
      <w:r w:rsidR="000850EA">
        <w:t> </w:t>
      </w:r>
      <w:r>
        <w:t>10</w:t>
      </w:r>
      <w:r>
        <w:rPr>
          <w:rStyle w:val="Superscript"/>
        </w:rPr>
        <w:t>9</w:t>
      </w:r>
      <w:r>
        <w:t xml:space="preserve"> żywotnych komórek szczepu CVD 103-HgR </w:t>
      </w:r>
      <w:r>
        <w:rPr>
          <w:rStyle w:val="Emphasis"/>
        </w:rPr>
        <w:t>V</w:t>
      </w:r>
      <w:r w:rsidR="00963FE1">
        <w:rPr>
          <w:rStyle w:val="Emphasis"/>
        </w:rPr>
        <w:t>ibrio</w:t>
      </w:r>
      <w:r>
        <w:t xml:space="preserve"> </w:t>
      </w:r>
      <w:r>
        <w:rPr>
          <w:rStyle w:val="Emphasis"/>
        </w:rPr>
        <w:t>cholerae</w:t>
      </w:r>
      <w:r>
        <w:t>.</w:t>
      </w:r>
    </w:p>
    <w:p w14:paraId="534739A4" w14:textId="77777777" w:rsidR="00E96702" w:rsidRDefault="00E96702"/>
    <w:p w14:paraId="6E7B2171" w14:textId="77777777" w:rsidR="00E96702" w:rsidRDefault="00E96702"/>
    <w:p w14:paraId="04BED63A" w14:textId="77777777" w:rsidR="00E96702" w:rsidRDefault="0095540B" w:rsidP="00EC4F10">
      <w:pPr>
        <w:pStyle w:val="Heading1LAB"/>
        <w:outlineLvl w:val="9"/>
      </w:pPr>
      <w:r>
        <w:t>3.</w:t>
      </w:r>
      <w:r>
        <w:tab/>
        <w:t>WYKAZ SUBSTANCJI POMOCNICZYCH</w:t>
      </w:r>
    </w:p>
    <w:p w14:paraId="282D3162" w14:textId="77777777" w:rsidR="00E96702" w:rsidRDefault="00E96702">
      <w:pPr>
        <w:keepNext/>
      </w:pPr>
    </w:p>
    <w:p w14:paraId="68CC4CEC" w14:textId="77777777" w:rsidR="00E96702" w:rsidRDefault="0095540B">
      <w:r>
        <w:t xml:space="preserve">Zawiera sacharozę, laktozę i sód. </w:t>
      </w:r>
      <w:r>
        <w:rPr>
          <w:highlight w:val="lightGray"/>
        </w:rPr>
        <w:t>Więcej informacji zawiera ulotka.</w:t>
      </w:r>
    </w:p>
    <w:p w14:paraId="00AFEF27" w14:textId="77777777" w:rsidR="00E96702" w:rsidRDefault="00E96702"/>
    <w:p w14:paraId="7876507B" w14:textId="77777777" w:rsidR="00E96702" w:rsidRDefault="00E96702"/>
    <w:p w14:paraId="6DFA6A0E" w14:textId="77777777" w:rsidR="00E96702" w:rsidRDefault="0095540B" w:rsidP="00EC4F10">
      <w:pPr>
        <w:pStyle w:val="Heading1LAB"/>
        <w:outlineLvl w:val="9"/>
      </w:pPr>
      <w:r>
        <w:t>4.</w:t>
      </w:r>
      <w:r>
        <w:tab/>
        <w:t>POSTAĆ FARMACEUTYCZNA I ZAWARTOŚĆ OPAKOWANIA</w:t>
      </w:r>
    </w:p>
    <w:p w14:paraId="3AC38BB4" w14:textId="77777777" w:rsidR="00E96702" w:rsidRDefault="00E96702">
      <w:pPr>
        <w:keepNext/>
      </w:pPr>
    </w:p>
    <w:p w14:paraId="07216788" w14:textId="1A4B41EC" w:rsidR="005A2E34" w:rsidRDefault="00D768E9">
      <w:r w:rsidRPr="00A13F2C">
        <w:rPr>
          <w:shd w:val="clear" w:color="auto" w:fill="BFBFBF" w:themeFill="background1" w:themeFillShade="BF"/>
        </w:rPr>
        <w:t>Proszek musujący i proszek do sporządzania zawiesiny doustnej</w:t>
      </w:r>
    </w:p>
    <w:p w14:paraId="7AD35287" w14:textId="416CD482" w:rsidR="00E96702" w:rsidRDefault="0095540B">
      <w:r>
        <w:t>1 saszetka z proszkiem do sporządzania zawiesiny doustnej</w:t>
      </w:r>
    </w:p>
    <w:p w14:paraId="1811F297" w14:textId="77777777" w:rsidR="00E96702" w:rsidRDefault="0095540B">
      <w:r>
        <w:t>1 saszetka z proszkiem musującym</w:t>
      </w:r>
    </w:p>
    <w:p w14:paraId="039453EA" w14:textId="77777777" w:rsidR="00E96702" w:rsidRDefault="0095540B">
      <w:r>
        <w:t>Jedna dawka.</w:t>
      </w:r>
    </w:p>
    <w:p w14:paraId="6C63EF4D" w14:textId="77777777" w:rsidR="00E96702" w:rsidRDefault="00E96702"/>
    <w:p w14:paraId="50E05F1F" w14:textId="77777777" w:rsidR="00E96702" w:rsidRDefault="00E96702"/>
    <w:p w14:paraId="4AAE15BB" w14:textId="77777777" w:rsidR="00E96702" w:rsidRDefault="0095540B" w:rsidP="00EC4F10">
      <w:pPr>
        <w:pStyle w:val="Heading1LAB"/>
        <w:outlineLvl w:val="9"/>
      </w:pPr>
      <w:r>
        <w:t>5.</w:t>
      </w:r>
      <w:r>
        <w:tab/>
        <w:t>SPOSÓB I DROGI PODANIA</w:t>
      </w:r>
    </w:p>
    <w:p w14:paraId="13848F3D" w14:textId="77777777" w:rsidR="00E96702" w:rsidRDefault="00E96702">
      <w:pPr>
        <w:keepNext/>
      </w:pPr>
    </w:p>
    <w:p w14:paraId="5F77C4A4" w14:textId="77777777" w:rsidR="00E96702" w:rsidRDefault="0095540B">
      <w:r>
        <w:t>Należy zapoznać się z treścią ulotki przed zastosowaniem leku.</w:t>
      </w:r>
    </w:p>
    <w:p w14:paraId="10BFAB3C" w14:textId="52E9C025" w:rsidR="00E96702" w:rsidRDefault="0095540B">
      <w:r>
        <w:t xml:space="preserve">Musujący proszek (saszetka nr 1) należy wymieszać z butelkowaną wodą </w:t>
      </w:r>
      <w:r w:rsidR="00843769">
        <w:t>(WYŁĄCZNIE w przypadku dzieci w wieku od 2 do &lt;</w:t>
      </w:r>
      <w:r w:rsidR="000850EA">
        <w:t> </w:t>
      </w:r>
      <w:r w:rsidR="00843769">
        <w:t>6 lat należy wyrzucić połowę roztworu)</w:t>
      </w:r>
      <w:r>
        <w:t>, a następnie dodać substancj</w:t>
      </w:r>
      <w:r w:rsidR="003442EE" w:rsidRPr="003442EE">
        <w:t>ę</w:t>
      </w:r>
      <w:r>
        <w:t xml:space="preserve"> czynną (saszetka nr 2) i wymieszać przed wypiciem.</w:t>
      </w:r>
    </w:p>
    <w:p w14:paraId="2418E69A" w14:textId="77777777" w:rsidR="00E96702" w:rsidRDefault="0095540B">
      <w:r>
        <w:t>Podanie doustne.</w:t>
      </w:r>
    </w:p>
    <w:p w14:paraId="6A53788F" w14:textId="77777777" w:rsidR="00E96702" w:rsidRDefault="00E96702"/>
    <w:p w14:paraId="1F450541" w14:textId="77777777" w:rsidR="00E96702" w:rsidRDefault="00E96702"/>
    <w:p w14:paraId="35E75965" w14:textId="77777777" w:rsidR="00E96702" w:rsidRDefault="0095540B" w:rsidP="00EC4F10">
      <w:pPr>
        <w:pStyle w:val="Heading1LAB"/>
        <w:outlineLvl w:val="9"/>
      </w:pPr>
      <w:r>
        <w:t>6.</w:t>
      </w:r>
      <w:r>
        <w:tab/>
        <w:t>OSTRZEŻENIE DOTYCZĄCE PRZECHOWYWANIA PRODUKTU LECZNICZEGO W MIEJSCU NIEWIDOCZNYM I NIEDOSTĘPNYM DLA DZIECI</w:t>
      </w:r>
    </w:p>
    <w:p w14:paraId="075D35D0" w14:textId="77777777" w:rsidR="00E96702" w:rsidRDefault="00E96702">
      <w:pPr>
        <w:keepNext/>
      </w:pPr>
    </w:p>
    <w:p w14:paraId="1DE60FEE" w14:textId="77777777" w:rsidR="00E96702" w:rsidRDefault="0095540B">
      <w:r>
        <w:t>Lek przechowywać w miejscu niewidocznym i niedostępnym dla dzieci.</w:t>
      </w:r>
    </w:p>
    <w:p w14:paraId="1DFDED1D" w14:textId="77777777" w:rsidR="00E96702" w:rsidRDefault="00E96702"/>
    <w:p w14:paraId="317E283C" w14:textId="77777777" w:rsidR="00E96702" w:rsidRDefault="00E96702"/>
    <w:p w14:paraId="4FDA5033" w14:textId="77777777" w:rsidR="00E96702" w:rsidRDefault="0095540B" w:rsidP="00EC4F10">
      <w:pPr>
        <w:pStyle w:val="Heading1LAB"/>
        <w:outlineLvl w:val="9"/>
      </w:pPr>
      <w:r>
        <w:t>7.</w:t>
      </w:r>
      <w:r>
        <w:tab/>
        <w:t>INNE OSTRZEŻENIA SPECJALNE, JEŚLI KONIECZNE</w:t>
      </w:r>
    </w:p>
    <w:p w14:paraId="0DD8C562" w14:textId="77777777" w:rsidR="00E96702" w:rsidRDefault="00E96702"/>
    <w:p w14:paraId="5018E803" w14:textId="77777777" w:rsidR="00E96702" w:rsidRDefault="00E96702"/>
    <w:p w14:paraId="6689A9C2" w14:textId="77777777" w:rsidR="00E96702" w:rsidRDefault="0095540B" w:rsidP="00EC4F10">
      <w:pPr>
        <w:pStyle w:val="Heading1LAB"/>
        <w:outlineLvl w:val="9"/>
      </w:pPr>
      <w:r>
        <w:t>8.</w:t>
      </w:r>
      <w:r>
        <w:tab/>
        <w:t>TERMIN WAŻNOŚCI</w:t>
      </w:r>
    </w:p>
    <w:p w14:paraId="4A425C2E" w14:textId="77777777" w:rsidR="00E96702" w:rsidRDefault="00E96702">
      <w:pPr>
        <w:keepNext/>
      </w:pPr>
    </w:p>
    <w:p w14:paraId="6ED72F58" w14:textId="77777777" w:rsidR="00E96702" w:rsidRDefault="0095540B">
      <w:r>
        <w:t>Termin ważności (EXP)</w:t>
      </w:r>
    </w:p>
    <w:p w14:paraId="50402C9E" w14:textId="77777777" w:rsidR="00E96702" w:rsidRDefault="00E96702"/>
    <w:p w14:paraId="48FC87BC" w14:textId="77777777" w:rsidR="00E96702" w:rsidRDefault="00E96702"/>
    <w:p w14:paraId="1AF00513" w14:textId="77777777" w:rsidR="00E96702" w:rsidRDefault="0095540B" w:rsidP="00EC4F10">
      <w:pPr>
        <w:pStyle w:val="Heading1LAB"/>
        <w:outlineLvl w:val="9"/>
      </w:pPr>
      <w:r>
        <w:lastRenderedPageBreak/>
        <w:t>9.</w:t>
      </w:r>
      <w:r>
        <w:tab/>
        <w:t>WARUNKI PRZECHOWYWANIA</w:t>
      </w:r>
    </w:p>
    <w:p w14:paraId="04FF7236" w14:textId="77777777" w:rsidR="00E96702" w:rsidRDefault="00E96702">
      <w:pPr>
        <w:keepNext/>
      </w:pPr>
    </w:p>
    <w:p w14:paraId="56CD3FF5" w14:textId="77777777" w:rsidR="00E96702" w:rsidRDefault="0095540B">
      <w:r>
        <w:t>Przechowywać w lodówce.</w:t>
      </w:r>
    </w:p>
    <w:p w14:paraId="1B1B78A4" w14:textId="75125808" w:rsidR="00E96702" w:rsidRDefault="00D768E9">
      <w:r>
        <w:rPr>
          <w:noProof/>
        </w:rPr>
        <w:t>Przechowywać w</w:t>
      </w:r>
      <w:r w:rsidR="000850EA">
        <w:rPr>
          <w:noProof/>
        </w:rPr>
        <w:t> </w:t>
      </w:r>
      <w:r>
        <w:rPr>
          <w:noProof/>
        </w:rPr>
        <w:t>oryginalnym opakowaniu w</w:t>
      </w:r>
      <w:r w:rsidR="000850EA">
        <w:rPr>
          <w:noProof/>
        </w:rPr>
        <w:t> </w:t>
      </w:r>
      <w:r>
        <w:rPr>
          <w:noProof/>
        </w:rPr>
        <w:t>celu ochrony przed światłem i wilgocią.</w:t>
      </w:r>
    </w:p>
    <w:p w14:paraId="78199A00" w14:textId="77777777" w:rsidR="00D768E9" w:rsidRDefault="00D768E9"/>
    <w:p w14:paraId="07EFEEDE" w14:textId="77777777" w:rsidR="00E96702" w:rsidRDefault="00E96702"/>
    <w:p w14:paraId="1AAB7279" w14:textId="77777777" w:rsidR="00E96702" w:rsidRDefault="0095540B" w:rsidP="00EC4F10">
      <w:pPr>
        <w:pStyle w:val="Heading1LAB"/>
        <w:outlineLvl w:val="9"/>
      </w:pPr>
      <w:r>
        <w:t>10.</w:t>
      </w:r>
      <w:r>
        <w:tab/>
        <w:t>SPECJALNE ŚRODKI OSTROŻNOŚCI DOTYCZĄCE USUWANIA NIEZUŻYTEGO PRODUKTU LECZNICZEGO LUB POCHODZĄCYCH Z NIEGO ODPADÓW, JEŚLI WŁAŚCIWE</w:t>
      </w:r>
    </w:p>
    <w:p w14:paraId="3E534BCC" w14:textId="77777777" w:rsidR="00E96702" w:rsidRDefault="00E96702">
      <w:pPr>
        <w:keepNext/>
      </w:pPr>
    </w:p>
    <w:p w14:paraId="1C8FA1A9" w14:textId="0DB68206" w:rsidR="00E96702" w:rsidRDefault="0095540B">
      <w:r>
        <w:t xml:space="preserve">Ten lek zawiera organizmy modyfikowane genetycznie. Niezużyty lek </w:t>
      </w:r>
      <w:r w:rsidR="00D768E9">
        <w:t>i </w:t>
      </w:r>
      <w:r w:rsidR="002F7212">
        <w:t>jego odpady</w:t>
      </w:r>
      <w:r w:rsidR="00D768E9">
        <w:t xml:space="preserve"> </w:t>
      </w:r>
      <w:r>
        <w:t>należy usunąć zgodnie z lokalnymi wymogami bezpieczeństwa biologicznego.</w:t>
      </w:r>
    </w:p>
    <w:p w14:paraId="4D398DFC" w14:textId="77777777" w:rsidR="00E96702" w:rsidRDefault="00E96702"/>
    <w:p w14:paraId="3408E23A" w14:textId="77777777" w:rsidR="00E96702" w:rsidRDefault="00E96702"/>
    <w:p w14:paraId="53DB9134" w14:textId="77777777" w:rsidR="00E96702" w:rsidRDefault="0095540B" w:rsidP="00EC4F10">
      <w:pPr>
        <w:pStyle w:val="Heading1LAB"/>
        <w:outlineLvl w:val="9"/>
      </w:pPr>
      <w:r>
        <w:t>11.</w:t>
      </w:r>
      <w:r>
        <w:tab/>
        <w:t>NAZWA I ADRES PODMIOTU ODPOWIEDZIALNEGO</w:t>
      </w:r>
    </w:p>
    <w:p w14:paraId="295E5255" w14:textId="77777777" w:rsidR="00E96702" w:rsidRDefault="00E96702">
      <w:pPr>
        <w:keepNext/>
      </w:pPr>
    </w:p>
    <w:p w14:paraId="22894393" w14:textId="77777777" w:rsidR="00AD0862" w:rsidRPr="002051A8" w:rsidRDefault="00AD0862" w:rsidP="00AD0862">
      <w:r w:rsidRPr="002051A8">
        <w:t>Bavarian Nordic A/S</w:t>
      </w:r>
    </w:p>
    <w:p w14:paraId="06F216D4" w14:textId="48352D68" w:rsidR="00AD0862" w:rsidRPr="006932CC" w:rsidRDefault="00AD0862" w:rsidP="00AD0862">
      <w:r w:rsidRPr="006932CC">
        <w:t>Philip Heymans Alle 3</w:t>
      </w:r>
    </w:p>
    <w:p w14:paraId="10626DE1" w14:textId="3B1BBC42" w:rsidR="00AD0862" w:rsidRPr="006932CC" w:rsidRDefault="00AD0862" w:rsidP="00AD0862">
      <w:r w:rsidRPr="006932CC">
        <w:t>DK-2900 Hellerup</w:t>
      </w:r>
    </w:p>
    <w:p w14:paraId="593C2169" w14:textId="4D22052E" w:rsidR="00E96702" w:rsidRPr="006932CC" w:rsidRDefault="00AD0862">
      <w:r w:rsidRPr="006932CC">
        <w:t>Dania</w:t>
      </w:r>
    </w:p>
    <w:p w14:paraId="72DAA8CA" w14:textId="77777777" w:rsidR="00E96702" w:rsidRPr="006932CC" w:rsidRDefault="00E96702"/>
    <w:p w14:paraId="0913FD6E" w14:textId="77777777" w:rsidR="00D43B87" w:rsidRPr="006932CC" w:rsidRDefault="00D43B87"/>
    <w:p w14:paraId="498A3096" w14:textId="77777777" w:rsidR="00E96702" w:rsidRDefault="0095540B" w:rsidP="00EC4F10">
      <w:pPr>
        <w:pStyle w:val="Heading1LAB"/>
        <w:outlineLvl w:val="9"/>
      </w:pPr>
      <w:r>
        <w:t>12.</w:t>
      </w:r>
      <w:r>
        <w:tab/>
        <w:t>NUMER POZWOLENIA NA DOPUSZCZENIE DO OBROTU</w:t>
      </w:r>
    </w:p>
    <w:p w14:paraId="5576D736" w14:textId="77777777" w:rsidR="00E96702" w:rsidRDefault="00E96702">
      <w:pPr>
        <w:keepNext/>
      </w:pPr>
    </w:p>
    <w:p w14:paraId="4B2B21F6" w14:textId="77777777" w:rsidR="00E96702" w:rsidRPr="00A13F2C" w:rsidRDefault="0095540B">
      <w:pPr>
        <w:rPr>
          <w:lang w:val="nb-NO"/>
        </w:rPr>
      </w:pPr>
      <w:r w:rsidRPr="00A13F2C">
        <w:rPr>
          <w:lang w:val="nb-NO"/>
        </w:rPr>
        <w:t>EU/1/20/1423/001</w:t>
      </w:r>
    </w:p>
    <w:p w14:paraId="50C2B10F" w14:textId="77777777" w:rsidR="00E96702" w:rsidRPr="00A13F2C" w:rsidRDefault="00E96702">
      <w:pPr>
        <w:rPr>
          <w:lang w:val="nb-NO"/>
        </w:rPr>
      </w:pPr>
    </w:p>
    <w:p w14:paraId="580F6C5B" w14:textId="77777777" w:rsidR="00E96702" w:rsidRPr="00A13F2C" w:rsidRDefault="00E96702">
      <w:pPr>
        <w:rPr>
          <w:lang w:val="nb-NO"/>
        </w:rPr>
      </w:pPr>
    </w:p>
    <w:p w14:paraId="62BCCC14" w14:textId="77777777" w:rsidR="00E96702" w:rsidRPr="00A13F2C" w:rsidRDefault="0095540B" w:rsidP="00EC4F10">
      <w:pPr>
        <w:pStyle w:val="Heading1LAB"/>
        <w:outlineLvl w:val="9"/>
        <w:rPr>
          <w:lang w:val="nb-NO"/>
        </w:rPr>
      </w:pPr>
      <w:r w:rsidRPr="00A13F2C">
        <w:rPr>
          <w:lang w:val="nb-NO"/>
        </w:rPr>
        <w:t>13.</w:t>
      </w:r>
      <w:r w:rsidRPr="00A13F2C">
        <w:rPr>
          <w:lang w:val="nb-NO"/>
        </w:rPr>
        <w:tab/>
        <w:t>NUMER SERII</w:t>
      </w:r>
    </w:p>
    <w:p w14:paraId="7FEE001E" w14:textId="77777777" w:rsidR="00E96702" w:rsidRPr="00A13F2C" w:rsidRDefault="00E96702">
      <w:pPr>
        <w:keepNext/>
        <w:rPr>
          <w:lang w:val="nb-NO"/>
        </w:rPr>
      </w:pPr>
    </w:p>
    <w:p w14:paraId="68876B78" w14:textId="77777777" w:rsidR="00E96702" w:rsidRPr="00A13F2C" w:rsidRDefault="0095540B">
      <w:pPr>
        <w:rPr>
          <w:lang w:val="nb-NO"/>
        </w:rPr>
      </w:pPr>
      <w:r w:rsidRPr="00A13F2C">
        <w:rPr>
          <w:lang w:val="nb-NO"/>
        </w:rPr>
        <w:t>Nr serii (Lot)</w:t>
      </w:r>
    </w:p>
    <w:p w14:paraId="2E32BC14" w14:textId="77777777" w:rsidR="00E96702" w:rsidRPr="00A13F2C" w:rsidRDefault="00E96702">
      <w:pPr>
        <w:rPr>
          <w:lang w:val="nb-NO"/>
        </w:rPr>
      </w:pPr>
    </w:p>
    <w:p w14:paraId="6B660ACD" w14:textId="77777777" w:rsidR="00E96702" w:rsidRPr="00A13F2C" w:rsidRDefault="00E96702">
      <w:pPr>
        <w:rPr>
          <w:lang w:val="nb-NO"/>
        </w:rPr>
      </w:pPr>
    </w:p>
    <w:p w14:paraId="44B95BE0" w14:textId="77777777" w:rsidR="00E96702" w:rsidRDefault="0095540B" w:rsidP="00EC4F10">
      <w:pPr>
        <w:pStyle w:val="Heading1LAB"/>
        <w:outlineLvl w:val="9"/>
      </w:pPr>
      <w:r>
        <w:t>14.</w:t>
      </w:r>
      <w:r>
        <w:tab/>
        <w:t>OGÓLNA KATEGORIA DOSTĘPNOŚCI</w:t>
      </w:r>
    </w:p>
    <w:p w14:paraId="0FCAF5D5" w14:textId="77777777" w:rsidR="00E96702" w:rsidRDefault="00E96702"/>
    <w:p w14:paraId="7845961C" w14:textId="77777777" w:rsidR="00E96702" w:rsidRDefault="00E96702"/>
    <w:p w14:paraId="209CB70C" w14:textId="77777777" w:rsidR="00E96702" w:rsidRDefault="0095540B" w:rsidP="00EC4F10">
      <w:pPr>
        <w:pStyle w:val="Heading1LAB"/>
        <w:outlineLvl w:val="9"/>
      </w:pPr>
      <w:r>
        <w:t>15.</w:t>
      </w:r>
      <w:r>
        <w:tab/>
        <w:t>INSTRUKCJA UŻYCIA</w:t>
      </w:r>
    </w:p>
    <w:p w14:paraId="6D2CB884" w14:textId="77777777" w:rsidR="00E96702" w:rsidRDefault="00E96702"/>
    <w:p w14:paraId="67AF8F85" w14:textId="77777777" w:rsidR="00E96702" w:rsidRDefault="00E96702"/>
    <w:p w14:paraId="5521CCFD" w14:textId="77777777" w:rsidR="00E96702" w:rsidRDefault="0095540B" w:rsidP="00EC4F10">
      <w:pPr>
        <w:pStyle w:val="Heading1LAB"/>
        <w:outlineLvl w:val="9"/>
      </w:pPr>
      <w:r>
        <w:t>16.</w:t>
      </w:r>
      <w:r>
        <w:tab/>
        <w:t>INFORMACJA PODANA SYSTEMEM BRAILLE’A</w:t>
      </w:r>
    </w:p>
    <w:p w14:paraId="0CC1E06D" w14:textId="77777777" w:rsidR="00E96702" w:rsidRDefault="00E96702">
      <w:pPr>
        <w:keepNext/>
      </w:pPr>
    </w:p>
    <w:p w14:paraId="04CB7943" w14:textId="77777777" w:rsidR="00E96702" w:rsidRDefault="0095540B">
      <w:r>
        <w:t>Vaxchora</w:t>
      </w:r>
    </w:p>
    <w:p w14:paraId="0CF7B3A5" w14:textId="77777777" w:rsidR="00E96702" w:rsidRDefault="00E96702"/>
    <w:p w14:paraId="15B36C2E" w14:textId="77777777" w:rsidR="00E96702" w:rsidRDefault="00E96702"/>
    <w:p w14:paraId="1F49CCC5" w14:textId="77777777" w:rsidR="00E96702" w:rsidRDefault="0095540B" w:rsidP="00EC4F10">
      <w:pPr>
        <w:pStyle w:val="Heading1LAB"/>
        <w:outlineLvl w:val="9"/>
      </w:pPr>
      <w:r>
        <w:t>17.</w:t>
      </w:r>
      <w:r>
        <w:tab/>
        <w:t>NIEPOWTARZALNY IDENTYFIKATOR — KOD 2D</w:t>
      </w:r>
    </w:p>
    <w:p w14:paraId="6D4173E9" w14:textId="77777777" w:rsidR="00E96702" w:rsidRDefault="00E96702">
      <w:pPr>
        <w:keepNext/>
      </w:pPr>
    </w:p>
    <w:p w14:paraId="0308A364" w14:textId="77777777" w:rsidR="00E96702" w:rsidRDefault="0095540B">
      <w:r>
        <w:rPr>
          <w:highlight w:val="lightGray"/>
        </w:rPr>
        <w:t>Obejmuje kod 2D będący nośnikiem niepowtarzalnego identyfikatora.</w:t>
      </w:r>
    </w:p>
    <w:p w14:paraId="7D70DC9C" w14:textId="77777777" w:rsidR="00E96702" w:rsidRDefault="00E96702"/>
    <w:p w14:paraId="6DCC5019" w14:textId="77777777" w:rsidR="00E96702" w:rsidRDefault="00E96702"/>
    <w:p w14:paraId="5229B090" w14:textId="77777777" w:rsidR="00E96702" w:rsidRDefault="0095540B" w:rsidP="00EC4F10">
      <w:pPr>
        <w:pStyle w:val="Heading1LAB"/>
        <w:outlineLvl w:val="9"/>
      </w:pPr>
      <w:r>
        <w:t>18.</w:t>
      </w:r>
      <w:r>
        <w:tab/>
        <w:t>NIEPOWTARZALNY IDENTYFIKATOR — DANE CZYTELNE DLA CZŁOWIEKA</w:t>
      </w:r>
    </w:p>
    <w:p w14:paraId="24676A4B" w14:textId="77777777" w:rsidR="00E96702" w:rsidRDefault="00E96702">
      <w:pPr>
        <w:keepNext/>
      </w:pPr>
    </w:p>
    <w:p w14:paraId="2E657AE4" w14:textId="2DA6CA4A" w:rsidR="00E96702" w:rsidRDefault="0095540B">
      <w:r>
        <w:t>PC</w:t>
      </w:r>
    </w:p>
    <w:p w14:paraId="062846C9" w14:textId="72AB55DE" w:rsidR="00E96702" w:rsidRDefault="0095540B">
      <w:r>
        <w:t>SN</w:t>
      </w:r>
    </w:p>
    <w:p w14:paraId="52304B36" w14:textId="46FF7489" w:rsidR="00E96702" w:rsidRDefault="0095540B">
      <w:r>
        <w:t>NN</w:t>
      </w:r>
    </w:p>
    <w:p w14:paraId="21C22751" w14:textId="77777777" w:rsidR="00E96702" w:rsidRDefault="0095540B">
      <w:pPr>
        <w:pStyle w:val="HeadingStrLAB"/>
      </w:pPr>
      <w:r>
        <w:br w:type="page"/>
      </w:r>
      <w:r>
        <w:lastRenderedPageBreak/>
        <w:t>MINIMUM INFORMACJI ZAMIESZCZANYCH NA MAŁYCH OPAKOWANIACH BEZPOŚREDNICH</w:t>
      </w:r>
    </w:p>
    <w:p w14:paraId="306B19F4" w14:textId="77777777" w:rsidR="00E96702" w:rsidRDefault="00E96702">
      <w:pPr>
        <w:pStyle w:val="HeadingStrLAB"/>
      </w:pPr>
    </w:p>
    <w:p w14:paraId="17CF8314" w14:textId="77777777" w:rsidR="00E96702" w:rsidRDefault="0095540B">
      <w:pPr>
        <w:pStyle w:val="HeadingStrLAB"/>
      </w:pPr>
      <w:r>
        <w:t>Saszetka</w:t>
      </w:r>
    </w:p>
    <w:p w14:paraId="0EE45D27" w14:textId="77777777" w:rsidR="00E96702" w:rsidRDefault="00E96702"/>
    <w:p w14:paraId="69D64E33" w14:textId="77777777" w:rsidR="00E96702" w:rsidRDefault="00E96702"/>
    <w:p w14:paraId="5D82DABC" w14:textId="77777777" w:rsidR="00E96702" w:rsidRDefault="0095540B" w:rsidP="00EC4F10">
      <w:pPr>
        <w:pStyle w:val="Heading1LAB"/>
        <w:outlineLvl w:val="9"/>
      </w:pPr>
      <w:r>
        <w:t>1.</w:t>
      </w:r>
      <w:r>
        <w:tab/>
        <w:t>NAZWA PRODUKTU LECZNICZEGO I DROGA PODANIA</w:t>
      </w:r>
    </w:p>
    <w:p w14:paraId="000E40D5" w14:textId="77777777" w:rsidR="00E96702" w:rsidRDefault="00E96702">
      <w:pPr>
        <w:keepNext/>
      </w:pPr>
    </w:p>
    <w:p w14:paraId="3DD9D963" w14:textId="77777777" w:rsidR="00E96702" w:rsidRDefault="0095540B">
      <w:r>
        <w:t>Vaxchora — substancja czynna</w:t>
      </w:r>
    </w:p>
    <w:p w14:paraId="697572AC" w14:textId="77777777" w:rsidR="00E96702" w:rsidRDefault="0095540B">
      <w:r>
        <w:t>proszek do sporządzania zawiesiny doustnej</w:t>
      </w:r>
    </w:p>
    <w:p w14:paraId="59BD1171" w14:textId="77777777" w:rsidR="00E96702" w:rsidRDefault="0095540B">
      <w:r>
        <w:t>szczepionka przeciw cholerze</w:t>
      </w:r>
    </w:p>
    <w:p w14:paraId="4552F78A" w14:textId="77777777" w:rsidR="00E96702" w:rsidRDefault="0095540B">
      <w:r>
        <w:t>Podanie doustne</w:t>
      </w:r>
    </w:p>
    <w:p w14:paraId="1AEF3AA8" w14:textId="77777777" w:rsidR="00E96702" w:rsidRDefault="00E96702"/>
    <w:p w14:paraId="66AA0A7B" w14:textId="2C8C687E" w:rsidR="00E96702" w:rsidRDefault="00E96702"/>
    <w:p w14:paraId="24610D84" w14:textId="77777777" w:rsidR="00E96702" w:rsidRDefault="0095540B" w:rsidP="00EC4F10">
      <w:pPr>
        <w:pStyle w:val="Heading1LAB"/>
        <w:outlineLvl w:val="9"/>
      </w:pPr>
      <w:r>
        <w:t>2.</w:t>
      </w:r>
      <w:r>
        <w:tab/>
        <w:t>SPOSÓB PODAWANIA</w:t>
      </w:r>
    </w:p>
    <w:p w14:paraId="3A504BF5" w14:textId="77777777" w:rsidR="00E96702" w:rsidRDefault="00E96702">
      <w:pPr>
        <w:keepNext/>
      </w:pPr>
    </w:p>
    <w:p w14:paraId="357EC907" w14:textId="4FB54DD8" w:rsidR="00E96702" w:rsidRDefault="0095540B">
      <w:r>
        <w:t>Do stosowania z </w:t>
      </w:r>
      <w:r w:rsidR="00565ADC">
        <w:t xml:space="preserve">buforem </w:t>
      </w:r>
      <w:r w:rsidR="002F7212">
        <w:t xml:space="preserve">do </w:t>
      </w:r>
      <w:r w:rsidR="00565ADC">
        <w:t xml:space="preserve">Vaxchora </w:t>
      </w:r>
      <w:r>
        <w:t>rozpuszczonym w butelkowanej wodzie.</w:t>
      </w:r>
    </w:p>
    <w:p w14:paraId="5BF2CEE8" w14:textId="77777777" w:rsidR="00E96702" w:rsidRDefault="0095540B">
      <w:r>
        <w:t>Należy zapoznać się z treścią ulotki przed zastosowaniem leku.</w:t>
      </w:r>
    </w:p>
    <w:p w14:paraId="0CF8916C" w14:textId="77777777" w:rsidR="00E96702" w:rsidRDefault="00E96702"/>
    <w:p w14:paraId="36EF885E" w14:textId="77777777" w:rsidR="00E96702" w:rsidRDefault="00E96702"/>
    <w:p w14:paraId="1E4F5777" w14:textId="77777777" w:rsidR="00E96702" w:rsidRDefault="0095540B" w:rsidP="00EC4F10">
      <w:pPr>
        <w:pStyle w:val="Heading1LAB"/>
        <w:outlineLvl w:val="9"/>
      </w:pPr>
      <w:r>
        <w:t>3.</w:t>
      </w:r>
      <w:r>
        <w:tab/>
        <w:t>TERMIN WAŻNOŚCI</w:t>
      </w:r>
    </w:p>
    <w:p w14:paraId="64DB377C" w14:textId="77777777" w:rsidR="00E96702" w:rsidRDefault="00E96702">
      <w:pPr>
        <w:keepNext/>
      </w:pPr>
    </w:p>
    <w:p w14:paraId="48EC8649" w14:textId="77777777" w:rsidR="00E96702" w:rsidRDefault="0095540B">
      <w:r>
        <w:t>EXP</w:t>
      </w:r>
    </w:p>
    <w:p w14:paraId="34E86A20" w14:textId="77777777" w:rsidR="00E96702" w:rsidRDefault="00E96702"/>
    <w:p w14:paraId="533C0BAA" w14:textId="77777777" w:rsidR="00E96702" w:rsidRDefault="00E96702"/>
    <w:p w14:paraId="419861E2" w14:textId="77777777" w:rsidR="00E96702" w:rsidRDefault="0095540B" w:rsidP="00EC4F10">
      <w:pPr>
        <w:pStyle w:val="Heading1LAB"/>
        <w:outlineLvl w:val="9"/>
      </w:pPr>
      <w:r>
        <w:t>4.</w:t>
      </w:r>
      <w:r>
        <w:tab/>
        <w:t>NUMER SERII</w:t>
      </w:r>
    </w:p>
    <w:p w14:paraId="0DEFEEE0" w14:textId="77777777" w:rsidR="00E96702" w:rsidRDefault="00E96702">
      <w:pPr>
        <w:keepNext/>
      </w:pPr>
    </w:p>
    <w:p w14:paraId="48ABBDB3" w14:textId="77777777" w:rsidR="00E96702" w:rsidRDefault="0095540B">
      <w:r>
        <w:t>Lot</w:t>
      </w:r>
    </w:p>
    <w:p w14:paraId="7F9949F3" w14:textId="77777777" w:rsidR="00E96702" w:rsidRDefault="00E96702"/>
    <w:p w14:paraId="36B6EBE2" w14:textId="77777777" w:rsidR="00E96702" w:rsidRDefault="00E96702"/>
    <w:p w14:paraId="228419A4" w14:textId="77777777" w:rsidR="00E96702" w:rsidRDefault="0095540B" w:rsidP="00EC4F10">
      <w:pPr>
        <w:pStyle w:val="Heading1LAB"/>
        <w:outlineLvl w:val="9"/>
      </w:pPr>
      <w:r>
        <w:t>5.</w:t>
      </w:r>
      <w:r>
        <w:tab/>
        <w:t>ZAWARTOŚĆ OPAKOWANIA Z PODANIEM MASY, OBJĘTOŚCI LUB LICZBY JEDNOSTEK</w:t>
      </w:r>
    </w:p>
    <w:p w14:paraId="40D86891" w14:textId="77777777" w:rsidR="00E96702" w:rsidRDefault="00E96702">
      <w:pPr>
        <w:keepNext/>
      </w:pPr>
    </w:p>
    <w:p w14:paraId="49306129" w14:textId="77777777" w:rsidR="00E96702" w:rsidRDefault="0095540B">
      <w:r>
        <w:t>2,0 g</w:t>
      </w:r>
    </w:p>
    <w:p w14:paraId="600C3D9B" w14:textId="77777777" w:rsidR="00E96702" w:rsidRDefault="00E96702"/>
    <w:p w14:paraId="50A449BC" w14:textId="77777777" w:rsidR="00E96702" w:rsidRDefault="00E96702"/>
    <w:p w14:paraId="49AD96C0" w14:textId="77777777" w:rsidR="00E96702" w:rsidRDefault="0095540B" w:rsidP="00EC4F10">
      <w:pPr>
        <w:pStyle w:val="Heading1LAB"/>
        <w:outlineLvl w:val="9"/>
      </w:pPr>
      <w:r>
        <w:t>6.</w:t>
      </w:r>
      <w:r>
        <w:tab/>
        <w:t>INNE</w:t>
      </w:r>
    </w:p>
    <w:p w14:paraId="237D1B58" w14:textId="77777777" w:rsidR="00E96702" w:rsidRDefault="00E96702">
      <w:pPr>
        <w:keepNext/>
      </w:pPr>
    </w:p>
    <w:p w14:paraId="118EBF69" w14:textId="77777777" w:rsidR="00E96702" w:rsidRDefault="0095540B">
      <w:r>
        <w:t>2</w:t>
      </w:r>
    </w:p>
    <w:p w14:paraId="2C51DAB7" w14:textId="77777777" w:rsidR="00E96702" w:rsidRDefault="00E96702"/>
    <w:p w14:paraId="5B406177" w14:textId="77777777" w:rsidR="00E96702" w:rsidRPr="00FD0744" w:rsidRDefault="0095540B">
      <w:pPr>
        <w:rPr>
          <w:highlight w:val="lightGray"/>
        </w:rPr>
      </w:pPr>
      <w:r w:rsidRPr="00FD0744">
        <w:rPr>
          <w:highlight w:val="lightGray"/>
        </w:rPr>
        <w:t>Patrz instrukcja na drugiej stronie.</w:t>
      </w:r>
    </w:p>
    <w:p w14:paraId="4FE7FAE8" w14:textId="77777777" w:rsidR="00E96702" w:rsidRDefault="00E96702"/>
    <w:p w14:paraId="1191669C" w14:textId="77777777" w:rsidR="00E96702" w:rsidRDefault="0095540B">
      <w:r>
        <w:t>Saszetka nr 2 z dwóch saszetek. Użyć jako ostatnią.</w:t>
      </w:r>
    </w:p>
    <w:p w14:paraId="121A175C" w14:textId="77777777" w:rsidR="00E96702" w:rsidRDefault="00E96702"/>
    <w:p w14:paraId="0DFEF01A" w14:textId="77777777" w:rsidR="00AD0862" w:rsidRDefault="00AD0862" w:rsidP="00AD0862">
      <w:pPr>
        <w:ind w:right="113"/>
      </w:pPr>
      <w:r>
        <w:t>Bavarian Nordic A/S</w:t>
      </w:r>
    </w:p>
    <w:p w14:paraId="23BBACDE" w14:textId="77777777" w:rsidR="008865AF" w:rsidRDefault="008865AF" w:rsidP="00AD0862">
      <w:pPr>
        <w:ind w:right="113"/>
      </w:pPr>
    </w:p>
    <w:p w14:paraId="2DC27925" w14:textId="77777777" w:rsidR="00E96702" w:rsidRDefault="0095540B">
      <w:r>
        <w:br w:type="page"/>
      </w:r>
    </w:p>
    <w:p w14:paraId="18AE5497" w14:textId="77777777" w:rsidR="00E96702" w:rsidRDefault="0095540B">
      <w:pPr>
        <w:pStyle w:val="HeadingStrLAB"/>
      </w:pPr>
      <w:r>
        <w:lastRenderedPageBreak/>
        <w:t>MINIMUM INFORMACJI ZAMIESZCZANYCH NA MAŁYCH OPAKOWANIACH BEZPOŚREDNICH</w:t>
      </w:r>
    </w:p>
    <w:p w14:paraId="72EFD7A7" w14:textId="77777777" w:rsidR="00E96702" w:rsidRDefault="00E96702">
      <w:pPr>
        <w:pStyle w:val="HeadingStrLAB"/>
      </w:pPr>
    </w:p>
    <w:p w14:paraId="763127B6" w14:textId="77777777" w:rsidR="00E96702" w:rsidRDefault="0095540B">
      <w:pPr>
        <w:pStyle w:val="HeadingStrLAB"/>
      </w:pPr>
      <w:r>
        <w:t>Saszetka</w:t>
      </w:r>
    </w:p>
    <w:p w14:paraId="56CD6FAC" w14:textId="77777777" w:rsidR="00E96702" w:rsidRDefault="00E96702">
      <w:pPr>
        <w:keepNext/>
      </w:pPr>
    </w:p>
    <w:p w14:paraId="2241EB62" w14:textId="77777777" w:rsidR="00E96702" w:rsidRDefault="00E96702"/>
    <w:p w14:paraId="55EFD688" w14:textId="77777777" w:rsidR="00E96702" w:rsidRDefault="0095540B" w:rsidP="00EC4F10">
      <w:pPr>
        <w:pStyle w:val="Heading1LAB"/>
        <w:outlineLvl w:val="9"/>
      </w:pPr>
      <w:r>
        <w:t>1.</w:t>
      </w:r>
      <w:r>
        <w:tab/>
        <w:t>NAZWA PRODUKTU LECZNICZEGO I DROGA PODANIA</w:t>
      </w:r>
    </w:p>
    <w:p w14:paraId="6D0607A1" w14:textId="77777777" w:rsidR="00E96702" w:rsidRDefault="00E96702">
      <w:pPr>
        <w:keepNext/>
      </w:pPr>
    </w:p>
    <w:p w14:paraId="18E3AB9D" w14:textId="26800452" w:rsidR="00565ADC" w:rsidRDefault="00565ADC">
      <w:r>
        <w:t xml:space="preserve">Bufor </w:t>
      </w:r>
      <w:r w:rsidR="002F7212">
        <w:t xml:space="preserve">do </w:t>
      </w:r>
      <w:r>
        <w:t>Vaxchora</w:t>
      </w:r>
    </w:p>
    <w:p w14:paraId="507D1EA8" w14:textId="614CA11F" w:rsidR="00565ADC" w:rsidRDefault="00C50FFB">
      <w:r>
        <w:t>p</w:t>
      </w:r>
      <w:r w:rsidR="00565ADC">
        <w:t>roszek</w:t>
      </w:r>
      <w:r>
        <w:t xml:space="preserve"> musujący</w:t>
      </w:r>
    </w:p>
    <w:p w14:paraId="1B5F9EBB" w14:textId="7978344D" w:rsidR="00E96702" w:rsidRDefault="0095540B">
      <w:r>
        <w:t>Wodorowęglan sodu</w:t>
      </w:r>
    </w:p>
    <w:p w14:paraId="3E592D7F" w14:textId="77777777" w:rsidR="00E96702" w:rsidRDefault="0095540B">
      <w:r>
        <w:t>Podanie doustne</w:t>
      </w:r>
    </w:p>
    <w:p w14:paraId="7E333880" w14:textId="77777777" w:rsidR="00E96702" w:rsidRDefault="00E96702"/>
    <w:p w14:paraId="0E0B7EC3" w14:textId="77777777" w:rsidR="00E96702" w:rsidRDefault="00E96702"/>
    <w:p w14:paraId="6A0AC6D8" w14:textId="77777777" w:rsidR="00E96702" w:rsidRDefault="0095540B" w:rsidP="00EC4F10">
      <w:pPr>
        <w:pStyle w:val="Heading1LAB"/>
        <w:outlineLvl w:val="9"/>
      </w:pPr>
      <w:r>
        <w:t>2.</w:t>
      </w:r>
      <w:r>
        <w:tab/>
        <w:t>SPOSÓB PODAWANIA</w:t>
      </w:r>
    </w:p>
    <w:p w14:paraId="3A7B3BAA" w14:textId="77777777" w:rsidR="00E96702" w:rsidRDefault="00E96702">
      <w:pPr>
        <w:keepNext/>
      </w:pPr>
    </w:p>
    <w:p w14:paraId="24ACB184" w14:textId="77777777" w:rsidR="00E96702" w:rsidRDefault="0095540B">
      <w:r>
        <w:t>Należy wymieszać z butelkowaną wodą i substancją czynną szczepionki Vaxchora.</w:t>
      </w:r>
    </w:p>
    <w:p w14:paraId="1022D6BE" w14:textId="5BC82051" w:rsidR="00E96702" w:rsidRDefault="0095540B">
      <w:r>
        <w:t>Należy zapoznać się z treścią ulotki przed zastosowaniem leku</w:t>
      </w:r>
      <w:r w:rsidR="00843769">
        <w:t>, szczególnie jeśli produkt jest podawany dzieciom w wieku od 2 do &lt;</w:t>
      </w:r>
      <w:r w:rsidR="000850EA">
        <w:t> </w:t>
      </w:r>
      <w:r w:rsidR="00843769">
        <w:t>6 lat, ponieważ konieczne są inne czynności przygotowawcze</w:t>
      </w:r>
      <w:r>
        <w:t>.</w:t>
      </w:r>
    </w:p>
    <w:p w14:paraId="2394FCEF" w14:textId="77777777" w:rsidR="00E96702" w:rsidRDefault="00E96702"/>
    <w:p w14:paraId="25B8225C" w14:textId="77777777" w:rsidR="00E96702" w:rsidRDefault="00E96702"/>
    <w:p w14:paraId="240AEC7B" w14:textId="77777777" w:rsidR="00E96702" w:rsidRDefault="0095540B" w:rsidP="00EC4F10">
      <w:pPr>
        <w:pStyle w:val="Heading1LAB"/>
        <w:outlineLvl w:val="9"/>
      </w:pPr>
      <w:r>
        <w:t>3.</w:t>
      </w:r>
      <w:r>
        <w:tab/>
        <w:t>TERMIN WAŻNOŚCI</w:t>
      </w:r>
    </w:p>
    <w:p w14:paraId="521EE1FB" w14:textId="77777777" w:rsidR="00E96702" w:rsidRDefault="00E96702">
      <w:pPr>
        <w:keepNext/>
      </w:pPr>
    </w:p>
    <w:p w14:paraId="05D035FA" w14:textId="77777777" w:rsidR="00E96702" w:rsidRDefault="0095540B">
      <w:r>
        <w:t>EXP</w:t>
      </w:r>
    </w:p>
    <w:p w14:paraId="1FB3587E" w14:textId="77777777" w:rsidR="00E96702" w:rsidRDefault="00E96702"/>
    <w:p w14:paraId="3E5694BE" w14:textId="77777777" w:rsidR="00E96702" w:rsidRDefault="00E96702"/>
    <w:p w14:paraId="1A9514FE" w14:textId="77777777" w:rsidR="00E96702" w:rsidRDefault="0095540B" w:rsidP="00EC4F10">
      <w:pPr>
        <w:pStyle w:val="Heading1LAB"/>
        <w:outlineLvl w:val="9"/>
      </w:pPr>
      <w:r>
        <w:t>4.</w:t>
      </w:r>
      <w:r>
        <w:tab/>
        <w:t>NUMER SERII</w:t>
      </w:r>
    </w:p>
    <w:p w14:paraId="64531130" w14:textId="77777777" w:rsidR="00E96702" w:rsidRDefault="00E96702" w:rsidP="00EC4F10">
      <w:pPr>
        <w:keepNext/>
      </w:pPr>
    </w:p>
    <w:p w14:paraId="61C75220" w14:textId="77777777" w:rsidR="00E96702" w:rsidRDefault="0095540B">
      <w:r>
        <w:t>Lot</w:t>
      </w:r>
    </w:p>
    <w:p w14:paraId="36A680D9" w14:textId="77777777" w:rsidR="00E96702" w:rsidRDefault="00E96702"/>
    <w:p w14:paraId="2CA9DBE6" w14:textId="77777777" w:rsidR="00E96702" w:rsidRDefault="00E96702"/>
    <w:p w14:paraId="0B65E2F2" w14:textId="77777777" w:rsidR="00E96702" w:rsidRDefault="0095540B" w:rsidP="00EC4F10">
      <w:pPr>
        <w:pStyle w:val="Heading1LAB"/>
        <w:outlineLvl w:val="9"/>
      </w:pPr>
      <w:r>
        <w:t>5.</w:t>
      </w:r>
      <w:r>
        <w:tab/>
        <w:t>ZAWARTOŚĆ OPAKOWANIA Z PODANIEM MASY, OBJĘTOŚCI LUB LICZBY JEDNOSTEK</w:t>
      </w:r>
    </w:p>
    <w:p w14:paraId="5EC00FF7" w14:textId="77777777" w:rsidR="00E96702" w:rsidRDefault="00E96702">
      <w:pPr>
        <w:keepNext/>
      </w:pPr>
    </w:p>
    <w:p w14:paraId="09315D76" w14:textId="77777777" w:rsidR="00E96702" w:rsidRDefault="0095540B">
      <w:r>
        <w:t>4,5 g</w:t>
      </w:r>
    </w:p>
    <w:p w14:paraId="45DB2C78" w14:textId="77777777" w:rsidR="00E96702" w:rsidRDefault="00E96702"/>
    <w:p w14:paraId="0445BEB4" w14:textId="77777777" w:rsidR="00E96702" w:rsidRDefault="00E96702"/>
    <w:p w14:paraId="02B1C155" w14:textId="77777777" w:rsidR="00E96702" w:rsidRDefault="0095540B" w:rsidP="00EC4F10">
      <w:pPr>
        <w:pStyle w:val="Heading1LAB"/>
        <w:outlineLvl w:val="9"/>
      </w:pPr>
      <w:r>
        <w:t>6.</w:t>
      </w:r>
      <w:r>
        <w:tab/>
        <w:t>INNE</w:t>
      </w:r>
    </w:p>
    <w:p w14:paraId="7852875B" w14:textId="77777777" w:rsidR="00E96702" w:rsidRDefault="00E96702">
      <w:pPr>
        <w:keepNext/>
      </w:pPr>
    </w:p>
    <w:p w14:paraId="111FB815" w14:textId="77777777" w:rsidR="00E96702" w:rsidRDefault="0095540B">
      <w:r>
        <w:t>1</w:t>
      </w:r>
    </w:p>
    <w:p w14:paraId="08E5B827" w14:textId="77777777" w:rsidR="00E96702" w:rsidRDefault="00E96702"/>
    <w:p w14:paraId="6FD65E52" w14:textId="77777777" w:rsidR="00E96702" w:rsidRPr="00FD0744" w:rsidRDefault="0095540B">
      <w:pPr>
        <w:rPr>
          <w:highlight w:val="lightGray"/>
        </w:rPr>
      </w:pPr>
      <w:r w:rsidRPr="00FD0744">
        <w:rPr>
          <w:highlight w:val="lightGray"/>
        </w:rPr>
        <w:t>Patrz instrukcja na drugiej stronie.</w:t>
      </w:r>
    </w:p>
    <w:p w14:paraId="0DED6BCC" w14:textId="77777777" w:rsidR="00E96702" w:rsidRDefault="00E96702"/>
    <w:p w14:paraId="684D3C43" w14:textId="77777777" w:rsidR="00E96702" w:rsidRDefault="0095540B">
      <w:r>
        <w:t>Saszetka 1 z dwóch saszetek. Użyć jako pierwszą.</w:t>
      </w:r>
    </w:p>
    <w:p w14:paraId="760DB74B" w14:textId="77777777" w:rsidR="00E96702" w:rsidRDefault="00E96702"/>
    <w:p w14:paraId="073DBA1A" w14:textId="77777777" w:rsidR="001940C3" w:rsidRDefault="00AD0862" w:rsidP="002051A8">
      <w:pPr>
        <w:ind w:right="113"/>
      </w:pPr>
      <w:r w:rsidRPr="002051A8">
        <w:t>Bavarian Nordic A/S</w:t>
      </w:r>
    </w:p>
    <w:p w14:paraId="6D543FA1" w14:textId="77777777" w:rsidR="00E96702" w:rsidRDefault="00E96702"/>
    <w:p w14:paraId="5419FC32" w14:textId="77777777" w:rsidR="00E96702" w:rsidRDefault="00E96702"/>
    <w:p w14:paraId="03ECFBFC" w14:textId="77777777" w:rsidR="00E96702" w:rsidRDefault="0095540B">
      <w:r>
        <w:br w:type="page"/>
      </w:r>
    </w:p>
    <w:p w14:paraId="358BA2A7" w14:textId="77777777" w:rsidR="00E96702" w:rsidRDefault="00E96702"/>
    <w:p w14:paraId="48EBABAC" w14:textId="77777777" w:rsidR="00E96702" w:rsidRDefault="00E96702"/>
    <w:p w14:paraId="1425B882" w14:textId="77777777" w:rsidR="00E96702" w:rsidRDefault="00E96702"/>
    <w:p w14:paraId="06241099" w14:textId="77777777" w:rsidR="00E96702" w:rsidRDefault="00E96702"/>
    <w:p w14:paraId="309D67FE" w14:textId="77777777" w:rsidR="00E96702" w:rsidRDefault="00E96702"/>
    <w:p w14:paraId="21AB4DC6" w14:textId="77777777" w:rsidR="00E96702" w:rsidRDefault="00E96702"/>
    <w:p w14:paraId="43D357E2" w14:textId="77777777" w:rsidR="00E96702" w:rsidRDefault="00E96702"/>
    <w:p w14:paraId="1DDF405C" w14:textId="77777777" w:rsidR="00E96702" w:rsidRDefault="00E96702"/>
    <w:p w14:paraId="18B4D94C" w14:textId="77777777" w:rsidR="00E96702" w:rsidRDefault="00E96702"/>
    <w:p w14:paraId="6D010436" w14:textId="77777777" w:rsidR="00E96702" w:rsidRDefault="00E96702"/>
    <w:p w14:paraId="5B0B7005" w14:textId="77777777" w:rsidR="00E96702" w:rsidRDefault="00E96702"/>
    <w:p w14:paraId="60D558F0" w14:textId="77777777" w:rsidR="00E96702" w:rsidRDefault="00E96702"/>
    <w:p w14:paraId="73C1E951" w14:textId="77777777" w:rsidR="00E96702" w:rsidRDefault="00E96702"/>
    <w:p w14:paraId="7120CB79" w14:textId="77777777" w:rsidR="00E96702" w:rsidRDefault="00E96702"/>
    <w:p w14:paraId="122AD553" w14:textId="77777777" w:rsidR="00E96702" w:rsidRDefault="00E96702"/>
    <w:p w14:paraId="10468814" w14:textId="77777777" w:rsidR="00E96702" w:rsidRDefault="00E96702"/>
    <w:p w14:paraId="7CDF2035" w14:textId="77777777" w:rsidR="00E96702" w:rsidRDefault="00E96702"/>
    <w:p w14:paraId="16E39342" w14:textId="77777777" w:rsidR="00E96702" w:rsidRDefault="00E96702"/>
    <w:p w14:paraId="33950426" w14:textId="77777777" w:rsidR="00E96702" w:rsidRDefault="00E96702"/>
    <w:p w14:paraId="76CCEFFB" w14:textId="77777777" w:rsidR="00E96702" w:rsidRDefault="00E96702"/>
    <w:p w14:paraId="2F1F69A5" w14:textId="77777777" w:rsidR="00E96702" w:rsidRDefault="00E96702"/>
    <w:p w14:paraId="6324A359" w14:textId="77777777" w:rsidR="00E96702" w:rsidRDefault="00E96702"/>
    <w:p w14:paraId="0F9B8752" w14:textId="77777777" w:rsidR="00E96702" w:rsidRDefault="0095540B">
      <w:pPr>
        <w:pStyle w:val="TitleA"/>
      </w:pPr>
      <w:r>
        <w:t>B. ULOTKA DLA PACJENTA</w:t>
      </w:r>
    </w:p>
    <w:p w14:paraId="5CA2FD2D" w14:textId="77777777" w:rsidR="00E96702" w:rsidRDefault="0095540B" w:rsidP="00EC4F10">
      <w:pPr>
        <w:pStyle w:val="Title"/>
        <w:outlineLvl w:val="9"/>
      </w:pPr>
      <w:r>
        <w:br w:type="page"/>
      </w:r>
      <w:r>
        <w:lastRenderedPageBreak/>
        <w:t>Ulotka dołączona do opakowania: informacja dla użytkownika</w:t>
      </w:r>
    </w:p>
    <w:p w14:paraId="73D77D83" w14:textId="77777777" w:rsidR="00E96702" w:rsidRDefault="00E96702" w:rsidP="00EC4F10">
      <w:pPr>
        <w:pStyle w:val="Title"/>
        <w:outlineLvl w:val="9"/>
      </w:pPr>
    </w:p>
    <w:p w14:paraId="2CF70673" w14:textId="77777777" w:rsidR="00E96702" w:rsidRDefault="0095540B" w:rsidP="00EC4F10">
      <w:pPr>
        <w:pStyle w:val="Title"/>
        <w:outlineLvl w:val="9"/>
      </w:pPr>
      <w:r>
        <w:t>Vaxchora, proszek musujący i proszek do sporządzania zawiesiny doustnej</w:t>
      </w:r>
    </w:p>
    <w:p w14:paraId="1BBF26FF" w14:textId="77777777" w:rsidR="00E96702" w:rsidRDefault="0095540B" w:rsidP="00EC4F10">
      <w:pPr>
        <w:pStyle w:val="Title"/>
        <w:outlineLvl w:val="9"/>
      </w:pPr>
      <w:r>
        <w:t>szczepionka przeciw cholerze (rekombinowana, żywa, doustna)</w:t>
      </w:r>
    </w:p>
    <w:p w14:paraId="0517503C" w14:textId="77777777" w:rsidR="00E96702" w:rsidRDefault="00E96702"/>
    <w:p w14:paraId="6A6DB5BB" w14:textId="77777777" w:rsidR="00E96702" w:rsidRDefault="0095540B">
      <w:pPr>
        <w:pStyle w:val="HeadingStrong"/>
      </w:pPr>
      <w:r>
        <w:t>Należy uważnie zapoznać się z treścią ulotki przed zażyciem tej szczepionki, ponieważ zawiera ona informacje ważne dla pacjenta.</w:t>
      </w:r>
    </w:p>
    <w:p w14:paraId="0DE1C005" w14:textId="77777777" w:rsidR="00E96702" w:rsidRDefault="0095540B">
      <w:pPr>
        <w:pStyle w:val="Bullet-"/>
      </w:pPr>
      <w:r>
        <w:t>Należy zachować tę ulotkę, aby w razie potrzeby móc ją ponownie przeczytać.</w:t>
      </w:r>
    </w:p>
    <w:p w14:paraId="289047AD" w14:textId="77777777" w:rsidR="00E96702" w:rsidRDefault="0095540B">
      <w:pPr>
        <w:pStyle w:val="Bullet-"/>
      </w:pPr>
      <w:r>
        <w:t>W razie jakichkolwiek wątpliwości należy zwrócić się do lekarza, farmaceuty lub pielęgniarki.</w:t>
      </w:r>
    </w:p>
    <w:p w14:paraId="421A72BE" w14:textId="77777777" w:rsidR="00E96702" w:rsidRDefault="0095540B">
      <w:pPr>
        <w:pStyle w:val="Bullet-"/>
      </w:pPr>
      <w:r>
        <w:t>Tę szczepionkę przepisano ściśle określonej osobie. Nie należy go przekazywać innym.</w:t>
      </w:r>
    </w:p>
    <w:p w14:paraId="0BB0B406" w14:textId="77777777" w:rsidR="00E96702" w:rsidRDefault="0095540B">
      <w:pPr>
        <w:pStyle w:val="Bullet-"/>
      </w:pPr>
      <w:r>
        <w:t>Jeśli u pacjenta wystąpią jakiekolwiek objawy niepożądane, w tym wszelkie objawy niepożądane niewymienione w tej ulotce, należy powiedzieć o tym lekarzowi, farmaceucie lub pielęgniarce. Patrz punkt 4.</w:t>
      </w:r>
    </w:p>
    <w:p w14:paraId="14F70B38" w14:textId="77777777" w:rsidR="00E96702" w:rsidRDefault="00E96702"/>
    <w:p w14:paraId="6476304B" w14:textId="77777777" w:rsidR="00E96702" w:rsidRDefault="0095540B">
      <w:pPr>
        <w:pStyle w:val="HeadingStrong"/>
      </w:pPr>
      <w:r>
        <w:t>Spis treści ulotki</w:t>
      </w:r>
    </w:p>
    <w:p w14:paraId="25279BFE" w14:textId="77777777" w:rsidR="00E96702" w:rsidRDefault="00E96702">
      <w:pPr>
        <w:keepNext/>
      </w:pPr>
    </w:p>
    <w:p w14:paraId="7B982494" w14:textId="77777777" w:rsidR="00E96702" w:rsidRDefault="0095540B">
      <w:r>
        <w:t>1.</w:t>
      </w:r>
      <w:r>
        <w:tab/>
        <w:t>Co to jest szczepionka Vaxchora i w jakim celu się ją stosuje</w:t>
      </w:r>
    </w:p>
    <w:p w14:paraId="16C042A5" w14:textId="77777777" w:rsidR="00E96702" w:rsidRDefault="0095540B">
      <w:r>
        <w:t>2.</w:t>
      </w:r>
      <w:r>
        <w:tab/>
        <w:t>Informacje ważne przed przyjęciem szczepionki Vaxchora</w:t>
      </w:r>
    </w:p>
    <w:p w14:paraId="68C97799" w14:textId="77777777" w:rsidR="00E96702" w:rsidRDefault="0095540B">
      <w:r>
        <w:t>3.</w:t>
      </w:r>
      <w:r>
        <w:tab/>
        <w:t>Jak przyjmować szczepionkę Vaxchora</w:t>
      </w:r>
    </w:p>
    <w:p w14:paraId="13FE299D" w14:textId="77777777" w:rsidR="00E96702" w:rsidRDefault="0095540B">
      <w:r>
        <w:t>4.</w:t>
      </w:r>
      <w:r>
        <w:tab/>
        <w:t>Możliwe działania niepożądane</w:t>
      </w:r>
    </w:p>
    <w:p w14:paraId="188F1746" w14:textId="77777777" w:rsidR="00E96702" w:rsidRDefault="0095540B">
      <w:r>
        <w:t>5.</w:t>
      </w:r>
      <w:r>
        <w:tab/>
        <w:t>Jak przechowywać szczepionkę Vaxchora</w:t>
      </w:r>
    </w:p>
    <w:p w14:paraId="447C847D" w14:textId="77777777" w:rsidR="00E96702" w:rsidRDefault="0095540B">
      <w:r>
        <w:t>6.</w:t>
      </w:r>
      <w:r>
        <w:tab/>
        <w:t>Zawartość opakowania i inne informacje</w:t>
      </w:r>
    </w:p>
    <w:p w14:paraId="53C5BADB" w14:textId="77777777" w:rsidR="00E96702" w:rsidRDefault="00E96702"/>
    <w:p w14:paraId="40025F1E" w14:textId="77777777" w:rsidR="00B6576A" w:rsidRPr="00753772" w:rsidRDefault="00B6576A">
      <w:pPr>
        <w:rPr>
          <w:b/>
          <w:bCs/>
          <w:color w:val="FFFFFF" w:themeColor="background1"/>
          <w:highlight w:val="black"/>
        </w:rPr>
      </w:pPr>
    </w:p>
    <w:p w14:paraId="639E3335" w14:textId="77777777" w:rsidR="00E96702" w:rsidRPr="00753772" w:rsidRDefault="0095540B" w:rsidP="00EC4F10">
      <w:pPr>
        <w:rPr>
          <w:b/>
          <w:bCs/>
          <w:color w:val="FFFFFF" w:themeColor="background1"/>
          <w:highlight w:val="black"/>
        </w:rPr>
      </w:pPr>
      <w:r w:rsidRPr="00753772">
        <w:rPr>
          <w:b/>
          <w:bCs/>
          <w:color w:val="FFFFFF" w:themeColor="background1"/>
          <w:highlight w:val="black"/>
        </w:rPr>
        <w:t>1.</w:t>
      </w:r>
      <w:r w:rsidRPr="00753772">
        <w:rPr>
          <w:b/>
          <w:bCs/>
          <w:color w:val="FFFFFF" w:themeColor="background1"/>
          <w:highlight w:val="black"/>
        </w:rPr>
        <w:tab/>
        <w:t>Co to jest szczepionka Vaxchora i w jakim celu się ją stosuje</w:t>
      </w:r>
    </w:p>
    <w:p w14:paraId="471F5551" w14:textId="77777777" w:rsidR="00E96702" w:rsidRDefault="00E96702">
      <w:pPr>
        <w:keepNext/>
      </w:pPr>
    </w:p>
    <w:p w14:paraId="1818CED5" w14:textId="1C20D717" w:rsidR="00E96702" w:rsidRDefault="0095540B">
      <w:r>
        <w:t xml:space="preserve">Szczepionka Vaxchora jest doustną szczepionką przeciw cholerze, która pobudza mechanizmy odpornościowe w jelitach. Szczepionka jest używana do zapewniania ochrony przed cholerą u dorosłych i dzieci w wieku </w:t>
      </w:r>
      <w:r w:rsidR="000A633C">
        <w:t>2 </w:t>
      </w:r>
      <w:r>
        <w:t>lat i</w:t>
      </w:r>
      <w:r w:rsidR="000850EA">
        <w:t> </w:t>
      </w:r>
      <w:r>
        <w:t>starszych. Szczepionkę należy przyjąć co najmniej 10 dni przed podróżą do regionu występowania zachorowań na cholerę.</w:t>
      </w:r>
    </w:p>
    <w:p w14:paraId="0AC38305" w14:textId="77777777" w:rsidR="00E96702" w:rsidRDefault="00E96702"/>
    <w:p w14:paraId="09860ECB" w14:textId="77777777" w:rsidR="00E96702" w:rsidRPr="00A13F2C" w:rsidRDefault="0095540B">
      <w:pPr>
        <w:pStyle w:val="HeadingStrong"/>
        <w:rPr>
          <w:b w:val="0"/>
          <w:bCs w:val="0"/>
          <w:i/>
          <w:iCs/>
        </w:rPr>
      </w:pPr>
      <w:r w:rsidRPr="00A13F2C">
        <w:rPr>
          <w:b w:val="0"/>
          <w:bCs w:val="0"/>
          <w:i/>
          <w:iCs/>
        </w:rPr>
        <w:t>Jak działa szczepionka Vaxchora</w:t>
      </w:r>
    </w:p>
    <w:p w14:paraId="76F22928" w14:textId="77777777" w:rsidR="00E96702" w:rsidRDefault="00E96702">
      <w:pPr>
        <w:keepNext/>
      </w:pPr>
    </w:p>
    <w:p w14:paraId="4321D233" w14:textId="77777777" w:rsidR="00E96702" w:rsidRDefault="0095540B">
      <w:r>
        <w:t>Szczepionka Vaxchora przygotowuje układ odpornościowy (mechanizmy obronne organizmu) do obrony przed cholerą. Po przyjęciu szczepionki układ odpornościowy zaczyna wytwarzać białka zwane przeciwciałami, które zwalczają bakterie powodujące cholerę i wydzielaną przez nie toksynę (szkodliwą substancję) powodującą biegunkę. W ten sposób układ odpornościowy jest gotowy do zwalczania bakterii powodującej cholerę, gdy nastąpi kontakt z tą bakterią.</w:t>
      </w:r>
    </w:p>
    <w:p w14:paraId="597C3CF0" w14:textId="77777777" w:rsidR="00E96702" w:rsidRDefault="00E96702"/>
    <w:p w14:paraId="0E3AA8B8" w14:textId="77777777" w:rsidR="00E96702" w:rsidRPr="00753772" w:rsidRDefault="0095540B" w:rsidP="00EC4F10">
      <w:pPr>
        <w:rPr>
          <w:b/>
          <w:bCs/>
          <w:color w:val="FFFFFF" w:themeColor="background1"/>
          <w:highlight w:val="black"/>
        </w:rPr>
      </w:pPr>
      <w:r w:rsidRPr="00753772">
        <w:rPr>
          <w:b/>
          <w:bCs/>
          <w:color w:val="FFFFFF" w:themeColor="background1"/>
          <w:highlight w:val="black"/>
        </w:rPr>
        <w:t>2.</w:t>
      </w:r>
      <w:r w:rsidRPr="00753772">
        <w:rPr>
          <w:b/>
          <w:bCs/>
          <w:color w:val="FFFFFF" w:themeColor="background1"/>
          <w:highlight w:val="black"/>
        </w:rPr>
        <w:tab/>
        <w:t>Informacje ważne przed przyjęciem szczepionki Vaxchora</w:t>
      </w:r>
    </w:p>
    <w:p w14:paraId="7B675309" w14:textId="77777777" w:rsidR="00E96702" w:rsidRDefault="00E96702">
      <w:pPr>
        <w:keepNext/>
      </w:pPr>
    </w:p>
    <w:p w14:paraId="45E98950" w14:textId="77777777" w:rsidR="00E96702" w:rsidRDefault="0095540B">
      <w:pPr>
        <w:pStyle w:val="HeadingStrong"/>
      </w:pPr>
      <w:r>
        <w:t>Kiedy nie przyjmować szczepionki Vaxchora:</w:t>
      </w:r>
    </w:p>
    <w:p w14:paraId="2B45A472" w14:textId="77777777" w:rsidR="00E96702" w:rsidRDefault="0095540B">
      <w:pPr>
        <w:pStyle w:val="Bullet-"/>
      </w:pPr>
      <w:r>
        <w:t>jeśli pacjent ma uczulenie na którykolwiek ze składników tej szczepionki (wymienionych w punkcie 6);</w:t>
      </w:r>
    </w:p>
    <w:p w14:paraId="2349A7C8" w14:textId="77777777" w:rsidR="00E96702" w:rsidRDefault="0095540B">
      <w:pPr>
        <w:pStyle w:val="Bullet-"/>
      </w:pPr>
      <w:r>
        <w:t>jeśli u pacjenta występuje obniżona odporność, na przykład może to być obniżona odporność na zakażenia występująca od urodzenia. Obniżona odporność może też być spowodowana określonymi metodami leczenia, które osłabiają układ odpornościowy — na przykład może to być stosowanie wysokich dawek kortykosteroidów, leków przeciwnowotworowych lub radioterapii.</w:t>
      </w:r>
    </w:p>
    <w:p w14:paraId="5BB6763A" w14:textId="77777777" w:rsidR="00E96702" w:rsidRDefault="00E96702"/>
    <w:p w14:paraId="01E26F5B" w14:textId="77777777" w:rsidR="00E96702" w:rsidRDefault="0095540B">
      <w:pPr>
        <w:pStyle w:val="HeadingStrong"/>
      </w:pPr>
      <w:r>
        <w:t>Ostrzeżenia i środki ostrożności</w:t>
      </w:r>
    </w:p>
    <w:p w14:paraId="66D6B931" w14:textId="68F58553" w:rsidR="00E96702" w:rsidRDefault="0095540B">
      <w:r>
        <w:t xml:space="preserve">Przed </w:t>
      </w:r>
      <w:r w:rsidR="004B60E4">
        <w:t xml:space="preserve">rozpoczęciem </w:t>
      </w:r>
      <w:r>
        <w:t>przyj</w:t>
      </w:r>
      <w:r w:rsidR="004B60E4">
        <w:t>mowania</w:t>
      </w:r>
      <w:r>
        <w:t xml:space="preserve"> szczepionki Vaxchora należy omówić to z lekarzem, farmaceutą lub pielęgniarką.</w:t>
      </w:r>
    </w:p>
    <w:p w14:paraId="568B836A" w14:textId="77777777" w:rsidR="00E96702" w:rsidRDefault="00E96702"/>
    <w:p w14:paraId="01C8C713" w14:textId="2ECA0CAB" w:rsidR="00241C53" w:rsidRDefault="00241C53" w:rsidP="00241C53">
      <w:pPr>
        <w:numPr>
          <w:ilvl w:val="12"/>
          <w:numId w:val="0"/>
        </w:numPr>
        <w:rPr>
          <w:noProof/>
        </w:rPr>
      </w:pPr>
    </w:p>
    <w:p w14:paraId="07E1FA1F" w14:textId="77777777" w:rsidR="00753772" w:rsidRDefault="00753772" w:rsidP="00241C53">
      <w:pPr>
        <w:numPr>
          <w:ilvl w:val="12"/>
          <w:numId w:val="0"/>
        </w:numPr>
      </w:pPr>
    </w:p>
    <w:p w14:paraId="11C72C57" w14:textId="7744DABD" w:rsidR="00753772" w:rsidRDefault="00753772" w:rsidP="00241C53">
      <w:pPr>
        <w:numPr>
          <w:ilvl w:val="12"/>
          <w:numId w:val="0"/>
        </w:numPr>
      </w:pPr>
      <w:r>
        <w:rPr>
          <w:noProof/>
        </w:rPr>
        <w:lastRenderedPageBreak/>
        <mc:AlternateContent>
          <mc:Choice Requires="wps">
            <w:drawing>
              <wp:anchor distT="45720" distB="45720" distL="114300" distR="114300" simplePos="0" relativeHeight="251659776" behindDoc="0" locked="0" layoutInCell="1" allowOverlap="1" wp14:anchorId="278884DD" wp14:editId="11D13723">
                <wp:simplePos x="0" y="0"/>
                <wp:positionH relativeFrom="margin">
                  <wp:align>right</wp:align>
                </wp:positionH>
                <wp:positionV relativeFrom="paragraph">
                  <wp:posOffset>0</wp:posOffset>
                </wp:positionV>
                <wp:extent cx="5753100" cy="140462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chemeClr val="bg1">
                            <a:lumMod val="75000"/>
                          </a:schemeClr>
                        </a:solidFill>
                        <a:ln w="9525">
                          <a:solidFill>
                            <a:schemeClr val="bg1">
                              <a:lumMod val="75000"/>
                            </a:schemeClr>
                          </a:solidFill>
                          <a:miter lim="800000"/>
                          <a:headEnd/>
                          <a:tailEnd/>
                        </a:ln>
                      </wps:spPr>
                      <wps:txbx>
                        <w:txbxContent>
                          <w:p w14:paraId="5EE3C83E" w14:textId="7A808D42" w:rsidR="00753772" w:rsidRDefault="00753772" w:rsidP="00753772">
                            <w:pPr>
                              <w:numPr>
                                <w:ilvl w:val="12"/>
                                <w:numId w:val="0"/>
                              </w:numPr>
                              <w:rPr>
                                <w:noProof/>
                              </w:rPr>
                            </w:pPr>
                            <w:r>
                              <w:rPr>
                                <w:noProof/>
                              </w:rPr>
                              <w:t>Należy natychmiast skontaktować się z lekarzem, jeśli u pacjenta wystąpią następujące ciężkie działania niepożądane (patrz również punkt 4):</w:t>
                            </w:r>
                          </w:p>
                          <w:p w14:paraId="14B01C85" w14:textId="272B472E" w:rsidR="00753772" w:rsidRDefault="00753772" w:rsidP="00753772">
                            <w:pPr>
                              <w:numPr>
                                <w:ilvl w:val="12"/>
                                <w:numId w:val="0"/>
                              </w:numPr>
                              <w:rPr>
                                <w:noProof/>
                              </w:rPr>
                            </w:pPr>
                            <w:r>
                              <w:rPr>
                                <w:noProof/>
                              </w:rPr>
                              <w:t>•</w:t>
                            </w:r>
                            <w:r>
                              <w:rPr>
                                <w:noProof/>
                              </w:rPr>
                              <w:tab/>
                              <w:t>ciężkie</w:t>
                            </w:r>
                            <w:r w:rsidRPr="008A0C58">
                              <w:rPr>
                                <w:noProof/>
                              </w:rPr>
                              <w:t xml:space="preserve"> reakcje alergiczne powodujące obrzęk twarzy lub gardła, pokrzywkę, swędzącą wysypkę, duszność i</w:t>
                            </w:r>
                            <w:r>
                              <w:rPr>
                                <w:noProof/>
                              </w:rPr>
                              <w:t> </w:t>
                            </w:r>
                            <w:r w:rsidRPr="008A0C58">
                              <w:rPr>
                                <w:noProof/>
                              </w:rPr>
                              <w:t>(lub) spadek ciśnienia krwi oraz omdleni</w:t>
                            </w:r>
                            <w:r>
                              <w:rPr>
                                <w:noProof/>
                              </w:rPr>
                              <w:t>e</w:t>
                            </w:r>
                            <w:r w:rsidRPr="008A0C58">
                              <w:rPr>
                                <w:noProo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884DD" id="_x0000_t202" coordsize="21600,21600" o:spt="202" path="m,l,21600r21600,l21600,xe">
                <v:stroke joinstyle="miter"/>
                <v:path gradientshapeok="t" o:connecttype="rect"/>
              </v:shapetype>
              <v:shape id="Text Box 2" o:spid="_x0000_s1026" type="#_x0000_t202" style="position:absolute;margin-left:401.8pt;margin-top:0;width:453pt;height:110.6pt;z-index:2516597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" fillcolor="#bfbfbf [2412]" strokecolor="#bfbfbf [2412]">
                <v:textbox style="mso-fit-shape-to-text:t">
                  <w:txbxContent>
                    <w:p w14:paraId="5EE3C83E" w14:textId="7A808D42" w:rsidR="00753772" w:rsidRDefault="00753772" w:rsidP="00753772">
                      <w:pPr>
                        <w:numPr>
                          <w:ilvl w:val="12"/>
                          <w:numId w:val="0"/>
                        </w:numPr>
                        <w:rPr>
                          <w:noProof/>
                        </w:rPr>
                      </w:pPr>
                      <w:r>
                        <w:rPr>
                          <w:noProof/>
                        </w:rPr>
                        <w:t>Należy natychmiast skontaktować się z lekarzem, jeśli u pacjenta wystąpią następujące ciężkie działania niepożądane (patrz również punkt 4):</w:t>
                      </w:r>
                    </w:p>
                    <w:p w14:paraId="14B01C85" w14:textId="272B472E" w:rsidR="00753772" w:rsidRDefault="00753772" w:rsidP="00753772">
                      <w:pPr>
                        <w:numPr>
                          <w:ilvl w:val="12"/>
                          <w:numId w:val="0"/>
                        </w:numPr>
                        <w:rPr>
                          <w:noProof/>
                        </w:rPr>
                      </w:pPr>
                      <w:r>
                        <w:rPr>
                          <w:noProof/>
                        </w:rPr>
                        <w:t>•</w:t>
                      </w:r>
                      <w:r>
                        <w:rPr>
                          <w:noProof/>
                        </w:rPr>
                        <w:tab/>
                        <w:t>ciężkie</w:t>
                      </w:r>
                      <w:r w:rsidRPr="008A0C58">
                        <w:rPr>
                          <w:noProof/>
                        </w:rPr>
                        <w:t xml:space="preserve"> reakcje alergiczne powodujące obrzęk twarzy lub gardła, pokrzywkę, swędzącą wysypkę, duszność i</w:t>
                      </w:r>
                      <w:r>
                        <w:rPr>
                          <w:noProof/>
                        </w:rPr>
                        <w:t> </w:t>
                      </w:r>
                      <w:r w:rsidRPr="008A0C58">
                        <w:rPr>
                          <w:noProof/>
                        </w:rPr>
                        <w:t>(lub) spadek ciśnienia krwi oraz omdleni</w:t>
                      </w:r>
                      <w:r>
                        <w:rPr>
                          <w:noProof/>
                        </w:rPr>
                        <w:t>e</w:t>
                      </w:r>
                      <w:r w:rsidRPr="008A0C58">
                        <w:rPr>
                          <w:noProof/>
                        </w:rPr>
                        <w:t>.</w:t>
                      </w:r>
                    </w:p>
                  </w:txbxContent>
                </v:textbox>
                <w10:wrap type="square" anchorx="margin"/>
              </v:shape>
            </w:pict>
          </mc:Fallback>
        </mc:AlternateContent>
      </w:r>
    </w:p>
    <w:p w14:paraId="56C290D0" w14:textId="490C3DDA" w:rsidR="00241C53" w:rsidRPr="0005512A" w:rsidRDefault="008A0C58" w:rsidP="00241C53">
      <w:pPr>
        <w:numPr>
          <w:ilvl w:val="12"/>
          <w:numId w:val="0"/>
        </w:numPr>
        <w:rPr>
          <w:noProof/>
        </w:rPr>
      </w:pPr>
      <w:r w:rsidRPr="008A0C58">
        <w:t>Jeśli u</w:t>
      </w:r>
      <w:r w:rsidR="000850EA">
        <w:t> </w:t>
      </w:r>
      <w:r w:rsidRPr="008A0C58">
        <w:t>pacjenta wystąpi któr</w:t>
      </w:r>
      <w:r w:rsidR="002F7212">
        <w:t>y</w:t>
      </w:r>
      <w:r w:rsidRPr="008A0C58">
        <w:t>kolwiek z</w:t>
      </w:r>
      <w:r w:rsidR="000850EA">
        <w:t> </w:t>
      </w:r>
      <w:r w:rsidRPr="008A0C58">
        <w:t>poniższych objawów lub ich kombinacja: nudności, wymioty, biegunka lub</w:t>
      </w:r>
      <w:r>
        <w:t> </w:t>
      </w:r>
      <w:r w:rsidRPr="008A0C58">
        <w:t xml:space="preserve">ból brzucha, </w:t>
      </w:r>
      <w:r w:rsidRPr="006A4253">
        <w:rPr>
          <w:b/>
          <w:bCs/>
        </w:rPr>
        <w:t>przed przyjęciem szczepionki należy porozmawiać z</w:t>
      </w:r>
      <w:r w:rsidR="000850EA" w:rsidRPr="006A4253">
        <w:rPr>
          <w:b/>
          <w:bCs/>
        </w:rPr>
        <w:t> </w:t>
      </w:r>
      <w:r w:rsidRPr="006A4253">
        <w:rPr>
          <w:b/>
          <w:bCs/>
        </w:rPr>
        <w:t>lekarzem, farmaceutą lub pielęgniarką</w:t>
      </w:r>
      <w:r w:rsidRPr="008A0C58">
        <w:t>. Szczepienie należy odłożyć do czasu wyzdrowienia, ponieważ ochrona przed cholerą może być zmniejszona.</w:t>
      </w:r>
    </w:p>
    <w:p w14:paraId="72A2AD6E" w14:textId="77777777" w:rsidR="00241C53" w:rsidRDefault="00241C53"/>
    <w:p w14:paraId="413D5898" w14:textId="53E35CC6" w:rsidR="00E96702" w:rsidRDefault="0095540B">
      <w:r>
        <w:t xml:space="preserve">U niektórych pacjentów przyjęcie </w:t>
      </w:r>
      <w:r w:rsidR="00A669CA">
        <w:t xml:space="preserve">tej </w:t>
      </w:r>
      <w:r>
        <w:t xml:space="preserve">szczepionki może nie zapewniać pełnej ochrony przed cholerą. Istotne jest przestrzeganie zaleceń dotyczących higieny i zachowanie szczególnej ostrożności pod względem </w:t>
      </w:r>
      <w:r w:rsidR="006016EF">
        <w:t>jedzenia</w:t>
      </w:r>
      <w:r>
        <w:t xml:space="preserve"> i picia wody w regionach występowania zachorowań na cholerę.</w:t>
      </w:r>
    </w:p>
    <w:p w14:paraId="697C85F3" w14:textId="77777777" w:rsidR="00E96702" w:rsidRDefault="00E96702"/>
    <w:p w14:paraId="692BA719" w14:textId="25FDA1EA" w:rsidR="00E96702" w:rsidRDefault="00A669CA">
      <w:r>
        <w:t>Ta s</w:t>
      </w:r>
      <w:r w:rsidR="0095540B">
        <w:t>zczepionka może być mniej skuteczna, jeśli pacjent jest zakażony wirusem HIV.</w:t>
      </w:r>
    </w:p>
    <w:p w14:paraId="4AB65288" w14:textId="77777777" w:rsidR="00E96702" w:rsidRDefault="00E96702"/>
    <w:p w14:paraId="4F890D30" w14:textId="0E394396" w:rsidR="00E96702" w:rsidRDefault="0095540B">
      <w:r>
        <w:t>Bakteria zawarta w szczepionce może występować w kale pacjenta przez co najmniej 7 dni od przyjęcia szczepionki. Aby zapobiec przenoszeniu zanieczyszczeń, przez co najmniej 14 dni od przyjęcia</w:t>
      </w:r>
      <w:r w:rsidR="00A669CA">
        <w:t xml:space="preserve"> tej</w:t>
      </w:r>
      <w:r>
        <w:t xml:space="preserve"> szczepionki należy dokładnie myć ręce po skorzystaniu z toalety</w:t>
      </w:r>
      <w:r w:rsidR="000A633C">
        <w:t>, po zmianie pieluchy</w:t>
      </w:r>
      <w:r>
        <w:t xml:space="preserve"> i przed przygotowywaniem posiłków.</w:t>
      </w:r>
    </w:p>
    <w:p w14:paraId="57CBC5D9" w14:textId="77777777" w:rsidR="00E96702" w:rsidRDefault="00E96702"/>
    <w:p w14:paraId="3F7206C0" w14:textId="77777777" w:rsidR="00E96702" w:rsidRDefault="0095540B">
      <w:pPr>
        <w:pStyle w:val="HeadingStrong"/>
      </w:pPr>
      <w:r>
        <w:t>Dzieci i młodzież</w:t>
      </w:r>
    </w:p>
    <w:p w14:paraId="1479C354" w14:textId="77777777" w:rsidR="00E96702" w:rsidRDefault="0095540B">
      <w:r>
        <w:t xml:space="preserve">Tej szczepionki nie należy podawać dzieciom w wieku poniżej </w:t>
      </w:r>
      <w:r w:rsidR="000A633C">
        <w:t>2 </w:t>
      </w:r>
      <w:r>
        <w:t>lat, ponieważ nie wiadomo, na ile skuteczne jest jej stosowanie w tej grupie wiekowej.</w:t>
      </w:r>
    </w:p>
    <w:p w14:paraId="1E471D3F" w14:textId="77777777" w:rsidR="00E96702" w:rsidRDefault="00E96702"/>
    <w:p w14:paraId="2939C86A" w14:textId="45E28019" w:rsidR="00E96702" w:rsidRDefault="0095540B">
      <w:pPr>
        <w:pStyle w:val="HeadingStrong"/>
      </w:pPr>
      <w:r>
        <w:t>Szczepionka Vaxchora a inne leki</w:t>
      </w:r>
    </w:p>
    <w:p w14:paraId="28CA4BC6" w14:textId="1D59182D" w:rsidR="00E96702" w:rsidRDefault="0095540B">
      <w:r>
        <w:t xml:space="preserve">Należy powiedzieć lekarzowi, farmaceucie lub pielęgniarce o wszystkich lekach lub szczepionkach przyjmowanych przez pacjenta obecnie lub ostatnio, a także o lekach lub szczepionkach, które pacjent planuje przyjmować. Dotyczy to również leków wydawanych bez recepty, w tym preparatów ziołowych. Jest to spowodowane tym, że </w:t>
      </w:r>
      <w:r w:rsidR="00EA2DBB">
        <w:t xml:space="preserve">ta </w:t>
      </w:r>
      <w:r>
        <w:t>szczepionka może wpływać na sposób działania pewnych leków i szczepionek.</w:t>
      </w:r>
    </w:p>
    <w:p w14:paraId="73C9A66B" w14:textId="77777777" w:rsidR="00E96702" w:rsidRDefault="00E96702"/>
    <w:p w14:paraId="1A025F9E" w14:textId="77777777" w:rsidR="00E96702" w:rsidRDefault="0095540B">
      <w:r>
        <w:t>W szczególności należy powiedzieć lekarzowi, farmaceucie lub pielęgniarce o przyjmowaniu:</w:t>
      </w:r>
    </w:p>
    <w:p w14:paraId="681AF6E7" w14:textId="6053118C" w:rsidR="00E96702" w:rsidRDefault="0095540B">
      <w:pPr>
        <w:pStyle w:val="Bullet"/>
      </w:pPr>
      <w:r>
        <w:t xml:space="preserve">antybiotyków — </w:t>
      </w:r>
      <w:r w:rsidR="00EA2DBB">
        <w:t xml:space="preserve">ta </w:t>
      </w:r>
      <w:r>
        <w:t xml:space="preserve">szczepionka może nie działać, jeśli zostanie przyjęta w trakcie przyjmowania antybiotyków. </w:t>
      </w:r>
      <w:r w:rsidR="00EA2DBB">
        <w:t>Tej s</w:t>
      </w:r>
      <w:r>
        <w:t xml:space="preserve">zczepionki nie można przyjąć wcześniej niż po upływie 14 dni od przyjęcia ostatniej dawki antybiotyku. Nie należy przyjmować antybiotyków przez 10 dni od przyjęcia </w:t>
      </w:r>
      <w:r w:rsidR="00EA2DBB">
        <w:t xml:space="preserve">tej </w:t>
      </w:r>
      <w:r>
        <w:t>szczepionki.</w:t>
      </w:r>
    </w:p>
    <w:p w14:paraId="6D7EF932" w14:textId="7780F6D5" w:rsidR="00E96702" w:rsidRDefault="0095540B">
      <w:pPr>
        <w:pStyle w:val="Bullet"/>
      </w:pPr>
      <w:r>
        <w:t xml:space="preserve">chlorochiny w celu zapobiegania malarii — </w:t>
      </w:r>
      <w:r w:rsidR="00EA2DBB">
        <w:t xml:space="preserve">ta </w:t>
      </w:r>
      <w:r>
        <w:t xml:space="preserve">szczepionka może nie działać, jeśli zostanie przyjęta w trakcie przyjmowania chlorochiny. </w:t>
      </w:r>
      <w:r w:rsidR="00EA2DBB">
        <w:t>Tę s</w:t>
      </w:r>
      <w:r>
        <w:t>zczepionkę należy przyjąć co najmniej 10 dni przed rozpoczęciem przyjmowania chlorochiny lub po upływie 14 dni od zakończenia przyjmowania chlorochiny.</w:t>
      </w:r>
    </w:p>
    <w:p w14:paraId="3B2AE7FA" w14:textId="536FA074" w:rsidR="00E96702" w:rsidRDefault="0095540B">
      <w:pPr>
        <w:pStyle w:val="Bullet"/>
      </w:pPr>
      <w:r>
        <w:t xml:space="preserve">szczepionki przeciw durowi brzusznemu Ty21a — </w:t>
      </w:r>
      <w:r w:rsidR="00EA2DBB">
        <w:t xml:space="preserve">ta </w:t>
      </w:r>
      <w:r>
        <w:t xml:space="preserve">szczepionka może nie działać, jeśli zostanie przyjęta w tym samym czasie, co szczepionka Ty21a. </w:t>
      </w:r>
      <w:r w:rsidR="00EA2DBB">
        <w:t>Tę s</w:t>
      </w:r>
      <w:r>
        <w:t>zczepionkę należy przyjąć co najmniej 2 godziny przed przyjęciem szczepionki Ty21a lub po przyjęciu tej szczepionki.</w:t>
      </w:r>
    </w:p>
    <w:p w14:paraId="7812428D" w14:textId="77777777" w:rsidR="00E96702" w:rsidRDefault="00E96702"/>
    <w:p w14:paraId="6F90082A" w14:textId="7C6B6CE9" w:rsidR="00E96702" w:rsidRDefault="0095540B">
      <w:r>
        <w:t xml:space="preserve">Jeśli pacjent przyjmuje którykolwiek z powyższych leków, powinien o tym powiedzieć lekarzowi, farmaceucie lub pielęgniarce przed przyjęciem </w:t>
      </w:r>
      <w:r w:rsidR="00EA2DBB">
        <w:t xml:space="preserve">tej </w:t>
      </w:r>
      <w:r>
        <w:t>szczepionki.</w:t>
      </w:r>
    </w:p>
    <w:p w14:paraId="039637A9" w14:textId="77777777" w:rsidR="00E96702" w:rsidRDefault="00E96702"/>
    <w:p w14:paraId="34E2005F" w14:textId="77777777" w:rsidR="00E96702" w:rsidRDefault="0095540B">
      <w:pPr>
        <w:pStyle w:val="HeadingStrong"/>
      </w:pPr>
      <w:r>
        <w:t>Stosowanie szczepionki Vaxchora z jedzeniem i piciem</w:t>
      </w:r>
    </w:p>
    <w:p w14:paraId="5D351C45" w14:textId="403E20A1" w:rsidR="00E96702" w:rsidRDefault="0095540B">
      <w:r>
        <w:t xml:space="preserve">Nie wolno spożywać posiłków i przyjmować płynów przez okres 60 minut przed przyjęciem </w:t>
      </w:r>
      <w:r w:rsidR="00EA2DBB">
        <w:t xml:space="preserve">tej </w:t>
      </w:r>
      <w:r>
        <w:t>szczepionki oraz przez 60 minut po jej przyjęciu, ponieważ może to zmniejszyć jej skuteczność.</w:t>
      </w:r>
    </w:p>
    <w:p w14:paraId="598A6226" w14:textId="77777777" w:rsidR="00E96702" w:rsidRDefault="00E96702"/>
    <w:p w14:paraId="2CE438E7" w14:textId="77777777" w:rsidR="00E96702" w:rsidRDefault="0095540B">
      <w:pPr>
        <w:pStyle w:val="HeadingStrong"/>
      </w:pPr>
      <w:r>
        <w:t>Ciąża, karmienie piersią i wpływ na płodność</w:t>
      </w:r>
    </w:p>
    <w:p w14:paraId="4A67BB60" w14:textId="2E1EEF79" w:rsidR="00E96702" w:rsidRDefault="0095540B">
      <w:r>
        <w:t>Jeśli pacjentka jest w ciąży lub karmi piersią, przypuszcza</w:t>
      </w:r>
      <w:r w:rsidR="00A64EC5">
        <w:t>,</w:t>
      </w:r>
      <w:r>
        <w:t xml:space="preserve"> że może być w ciąży lub gdy planuje mieć dziecko, powinna poradzić się lekarza lub farmaceuty przed zastosowaniem tego leku.</w:t>
      </w:r>
    </w:p>
    <w:p w14:paraId="088C3A54" w14:textId="77777777" w:rsidR="00E96702" w:rsidRDefault="00E96702"/>
    <w:p w14:paraId="06A663F0" w14:textId="77777777" w:rsidR="00E96702" w:rsidRDefault="0095540B">
      <w:pPr>
        <w:pStyle w:val="HeadingStrong"/>
      </w:pPr>
      <w:r>
        <w:lastRenderedPageBreak/>
        <w:t>Prowadzenie pojazdów i obsługiwanie maszyn</w:t>
      </w:r>
    </w:p>
    <w:p w14:paraId="3854A33D" w14:textId="2A768F3D" w:rsidR="00E96702" w:rsidRDefault="00EB257E">
      <w:r>
        <w:t>S</w:t>
      </w:r>
      <w:r w:rsidRPr="00EB257E">
        <w:t xml:space="preserve">zczepionka </w:t>
      </w:r>
      <w:r>
        <w:t xml:space="preserve">Vaxchora </w:t>
      </w:r>
      <w:r w:rsidRPr="00EB257E">
        <w:t>nie ma wpływu lub wywiera nieistotny wpływ na zdolność prowadzenia pojazdów i</w:t>
      </w:r>
      <w:r w:rsidR="000850EA">
        <w:t> </w:t>
      </w:r>
      <w:r w:rsidRPr="00EB257E">
        <w:t xml:space="preserve">obsługiwania maszyn. Jednakże niektóre </w:t>
      </w:r>
      <w:r w:rsidR="007451CC">
        <w:t>działania</w:t>
      </w:r>
      <w:r w:rsidRPr="00EB257E">
        <w:t xml:space="preserve"> wymienione w</w:t>
      </w:r>
      <w:r w:rsidR="000850EA">
        <w:t> </w:t>
      </w:r>
      <w:r w:rsidRPr="00EB257E">
        <w:t>punkcie</w:t>
      </w:r>
      <w:r>
        <w:t> </w:t>
      </w:r>
      <w:r w:rsidRPr="00EB257E">
        <w:t xml:space="preserve">4 „Możliwe działania niepożądane” mogą przejściowo wpływać na zdolność prowadzenia pojazdów </w:t>
      </w:r>
      <w:r w:rsidR="004F6373">
        <w:t>lub</w:t>
      </w:r>
      <w:r>
        <w:t> </w:t>
      </w:r>
      <w:r w:rsidRPr="00EB257E">
        <w:t>obsługiwania maszyn. Nie należy prowadzić pojazdów ani obsługiwać maszyn, jeśli po szczepieniu pacjent czuje się źle</w:t>
      </w:r>
      <w:r w:rsidR="0095540B">
        <w:t>.</w:t>
      </w:r>
    </w:p>
    <w:p w14:paraId="220725B7" w14:textId="77777777" w:rsidR="00E96702" w:rsidRDefault="00E96702"/>
    <w:p w14:paraId="073EAD0F" w14:textId="77777777" w:rsidR="00E96702" w:rsidRDefault="0095540B">
      <w:pPr>
        <w:pStyle w:val="HeadingStrong"/>
      </w:pPr>
      <w:r>
        <w:t>Szczepionka Vaxchora zawiera laktozę, sacharozę i sód</w:t>
      </w:r>
    </w:p>
    <w:p w14:paraId="0A81C82F" w14:textId="77777777" w:rsidR="00E96702" w:rsidRDefault="0095540B">
      <w:r>
        <w:t>Jeśli lekarz stwierdził u pacjenta nietolerancję pewnych cukrów, należy się z nim skontaktować przed przyjęciem tej szczepionki.</w:t>
      </w:r>
    </w:p>
    <w:p w14:paraId="2FE95B3D" w14:textId="77777777" w:rsidR="00E96702" w:rsidRDefault="00E96702"/>
    <w:p w14:paraId="7D76B516" w14:textId="651CCFDE" w:rsidR="00E96702" w:rsidRDefault="0095540B">
      <w:r>
        <w:t xml:space="preserve">Szczepionka Vaxchora zawiera 863 mg sodu (głównego składnika soli kuchennej) na dawkę. Jest to odpowiednik 43% zalecanego dobowego spożycia sodu przez </w:t>
      </w:r>
      <w:r w:rsidR="004D63E9">
        <w:t>dorosłych</w:t>
      </w:r>
      <w:r>
        <w:t>. Należy to uwzględnić w przypadku diety niskosodowej.</w:t>
      </w:r>
    </w:p>
    <w:p w14:paraId="4E0E15BC" w14:textId="77777777" w:rsidR="00E96702" w:rsidRDefault="00E96702"/>
    <w:p w14:paraId="0D64BA2C" w14:textId="77777777" w:rsidR="00E96702" w:rsidRPr="00753772" w:rsidRDefault="0095540B" w:rsidP="00EC4F10">
      <w:pPr>
        <w:rPr>
          <w:b/>
          <w:bCs/>
          <w:color w:val="FFFFFF" w:themeColor="background1"/>
          <w:highlight w:val="black"/>
        </w:rPr>
      </w:pPr>
      <w:r w:rsidRPr="00753772">
        <w:rPr>
          <w:b/>
          <w:bCs/>
          <w:color w:val="FFFFFF" w:themeColor="background1"/>
          <w:highlight w:val="black"/>
        </w:rPr>
        <w:t>3.</w:t>
      </w:r>
      <w:r w:rsidRPr="00753772">
        <w:rPr>
          <w:b/>
          <w:bCs/>
          <w:color w:val="FFFFFF" w:themeColor="background1"/>
          <w:highlight w:val="black"/>
        </w:rPr>
        <w:tab/>
        <w:t>Jak przyjmować szczepionkę Vaxchora</w:t>
      </w:r>
    </w:p>
    <w:p w14:paraId="6C46DA89" w14:textId="77777777" w:rsidR="00E96702" w:rsidRDefault="00E96702"/>
    <w:p w14:paraId="753AAE94" w14:textId="77777777" w:rsidR="00E96702" w:rsidRDefault="0095540B">
      <w:r>
        <w:t>Tę szczepionkę należy zawsze przyjmować zgodnie z zaleceniami lekarza, farmaceuty lub pielęgniarki. W razie wątpliwości należy zwrócić się do lekarza, farmaceuty lub pielęgniarki.</w:t>
      </w:r>
    </w:p>
    <w:p w14:paraId="67486ADC" w14:textId="77777777" w:rsidR="00E96702" w:rsidRDefault="00E96702"/>
    <w:p w14:paraId="603866F1" w14:textId="44DA8502" w:rsidR="00E96702" w:rsidRDefault="0095540B">
      <w:r>
        <w:t>Zalecana dawka to zawartość obu saszetek znajdujących się w pudełku.</w:t>
      </w:r>
      <w:r w:rsidR="00B75C0F">
        <w:t xml:space="preserve"> W przypadku dzieci w wieku od 2 do poniżej 6 lat należy zwrócić uwagę na krok 8 zamieszczonej poniżej instrukcji przygotowania szczepionki.</w:t>
      </w:r>
    </w:p>
    <w:p w14:paraId="6ED21067" w14:textId="77777777" w:rsidR="00E96702" w:rsidRDefault="00E96702"/>
    <w:p w14:paraId="0BCC2BFE" w14:textId="77777777" w:rsidR="00E96702" w:rsidRDefault="0095540B">
      <w:r>
        <w:t>Ochrona przed cholerą jest zapewniana od 10. dnia po przyjęciu szczepionki Vaxchora. Lekarz, farmaceuta lub pielęgniarka doradzi, na ile wcześniej przed podróżą należy przyjąć tę szczepionkę.</w:t>
      </w:r>
    </w:p>
    <w:p w14:paraId="32C06A65" w14:textId="77777777" w:rsidR="00E96702" w:rsidRDefault="00E96702"/>
    <w:p w14:paraId="1ABE643C" w14:textId="77777777" w:rsidR="00E96702" w:rsidRDefault="0095540B">
      <w:pPr>
        <w:pStyle w:val="HeadingStrong"/>
      </w:pPr>
      <w:r>
        <w:t>Instrukcja:</w:t>
      </w:r>
    </w:p>
    <w:p w14:paraId="15180679" w14:textId="77777777" w:rsidR="00E96702" w:rsidRDefault="00E9670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42"/>
        <w:gridCol w:w="3686"/>
        <w:gridCol w:w="4394"/>
      </w:tblGrid>
      <w:tr w:rsidR="00E96702" w14:paraId="16DDFBB5" w14:textId="77777777" w:rsidTr="00DA6878">
        <w:trPr>
          <w:cantSplit/>
          <w:trHeight w:val="2600"/>
        </w:trPr>
        <w:tc>
          <w:tcPr>
            <w:tcW w:w="9303" w:type="dxa"/>
            <w:gridSpan w:val="3"/>
          </w:tcPr>
          <w:p w14:paraId="55BD1E08" w14:textId="77777777" w:rsidR="00E96702" w:rsidRDefault="0095540B">
            <w:pPr>
              <w:pStyle w:val="HeadingStrong"/>
              <w:jc w:val="center"/>
            </w:pPr>
            <w:r>
              <w:lastRenderedPageBreak/>
              <w:t>SZCZEPIONKĘ NALEŻY PRZYGOTOWAĆ DOKŁADNIE WEDŁUG OPISU W TEJ ULOTCE</w:t>
            </w:r>
          </w:p>
          <w:p w14:paraId="5335FD16" w14:textId="77777777" w:rsidR="00E96702" w:rsidRDefault="00E96702">
            <w:pPr>
              <w:pStyle w:val="NormalKeep"/>
            </w:pPr>
          </w:p>
          <w:p w14:paraId="593B0936" w14:textId="77777777" w:rsidR="00E96702" w:rsidRDefault="0095540B">
            <w:pPr>
              <w:pStyle w:val="HeadingStrong"/>
            </w:pPr>
            <w:r>
              <w:t>Przed przyjęciem szczepionki należy przeczytać poniższe informacje:</w:t>
            </w:r>
          </w:p>
          <w:p w14:paraId="48DD3CC0" w14:textId="6F92E675" w:rsidR="003648DF" w:rsidRPr="003648DF" w:rsidRDefault="00C00A68" w:rsidP="00DA6878">
            <w:pPr>
              <w:pStyle w:val="NormalKeep"/>
            </w:pPr>
            <w:r>
              <w:rPr>
                <w:noProof/>
              </w:rPr>
              <mc:AlternateContent>
                <mc:Choice Requires="wps">
                  <w:drawing>
                    <wp:anchor distT="45720" distB="45720" distL="114300" distR="114300" simplePos="0" relativeHeight="251661824" behindDoc="0" locked="0" layoutInCell="1" allowOverlap="1" wp14:anchorId="5B878E6F" wp14:editId="569F697B">
                      <wp:simplePos x="0" y="0"/>
                      <wp:positionH relativeFrom="column">
                        <wp:posOffset>92710</wp:posOffset>
                      </wp:positionH>
                      <wp:positionV relativeFrom="paragraph">
                        <wp:posOffset>344170</wp:posOffset>
                      </wp:positionV>
                      <wp:extent cx="5575300" cy="1404620"/>
                      <wp:effectExtent l="0" t="0" r="25400" b="15875"/>
                      <wp:wrapSquare wrapText="bothSides"/>
                      <wp:docPr id="1950545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1404620"/>
                              </a:xfrm>
                              <a:prstGeom prst="rect">
                                <a:avLst/>
                              </a:prstGeom>
                              <a:solidFill>
                                <a:schemeClr val="bg1">
                                  <a:lumMod val="75000"/>
                                </a:schemeClr>
                              </a:solidFill>
                              <a:ln w="9525">
                                <a:solidFill>
                                  <a:schemeClr val="bg1">
                                    <a:lumMod val="75000"/>
                                  </a:schemeClr>
                                </a:solidFill>
                                <a:miter lim="800000"/>
                                <a:headEnd/>
                                <a:tailEnd/>
                              </a:ln>
                            </wps:spPr>
                            <wps:txbx>
                              <w:txbxContent>
                                <w:p w14:paraId="7E77E3AF" w14:textId="1F603364" w:rsidR="00C00A68" w:rsidRDefault="00C00A68" w:rsidP="00C00A68">
                                  <w:r>
                                    <w:t xml:space="preserve">Szczepionka Vaxchora </w:t>
                                  </w:r>
                                  <w:r w:rsidRPr="005536EF">
                                    <w:rPr>
                                      <w:u w:val="single"/>
                                    </w:rPr>
                                    <w:t>może nie działać</w:t>
                                  </w:r>
                                  <w:r>
                                    <w:t>, jeśli wystąpią następujące sytuacje:</w:t>
                                  </w:r>
                                </w:p>
                                <w:p w14:paraId="5866BDF6" w14:textId="77777777" w:rsidR="00C00A68" w:rsidRDefault="00C00A68" w:rsidP="00C00A68"/>
                                <w:p w14:paraId="78927D46" w14:textId="77777777" w:rsidR="00C00A68" w:rsidRDefault="00C00A68" w:rsidP="00C00A68">
                                  <w:pPr>
                                    <w:pStyle w:val="Bullet"/>
                                    <w:ind w:left="1026" w:hanging="567"/>
                                  </w:pPr>
                                  <w:r>
                                    <w:t xml:space="preserve">Niewłaściwe przechowywanie; szczepionka musi być przechowywana w lodówce </w:t>
                                  </w:r>
                                  <w:r w:rsidRPr="009E4B2F">
                                    <w:rPr>
                                      <w:noProof/>
                                    </w:rPr>
                                    <w:t>(2</w:t>
                                  </w:r>
                                  <w:r w:rsidRPr="009E4B2F">
                                    <w:rPr>
                                      <w:rFonts w:ascii="Symbol" w:eastAsia="Symbol" w:hAnsi="Symbol" w:cs="Symbol"/>
                                      <w:noProof/>
                                    </w:rPr>
                                    <w:t></w:t>
                                  </w:r>
                                  <w:r w:rsidRPr="009E4B2F">
                                    <w:rPr>
                                      <w:noProof/>
                                    </w:rPr>
                                    <w:t>C</w:t>
                                  </w:r>
                                  <w:r>
                                    <w:rPr>
                                      <w:noProof/>
                                    </w:rPr>
                                    <w:t> </w:t>
                                  </w:r>
                                  <w:r w:rsidRPr="009E4B2F">
                                    <w:rPr>
                                      <w:noProof/>
                                    </w:rPr>
                                    <w:t>–</w:t>
                                  </w:r>
                                  <w:r>
                                    <w:rPr>
                                      <w:noProof/>
                                    </w:rPr>
                                    <w:t> </w:t>
                                  </w:r>
                                  <w:r w:rsidRPr="009E4B2F">
                                    <w:rPr>
                                      <w:noProof/>
                                    </w:rPr>
                                    <w:t>8</w:t>
                                  </w:r>
                                  <w:r w:rsidRPr="009E4B2F">
                                    <w:rPr>
                                      <w:rFonts w:ascii="Symbol" w:eastAsia="Symbol" w:hAnsi="Symbol" w:cs="Symbol"/>
                                      <w:noProof/>
                                    </w:rPr>
                                    <w:t></w:t>
                                  </w:r>
                                  <w:r w:rsidRPr="009E4B2F">
                                    <w:rPr>
                                      <w:noProof/>
                                    </w:rPr>
                                    <w:t>C)</w:t>
                                  </w:r>
                                  <w:r>
                                    <w:t>.</w:t>
                                  </w:r>
                                </w:p>
                                <w:p w14:paraId="26DCF0C0" w14:textId="77777777" w:rsidR="00C00A68" w:rsidRDefault="00C00A68" w:rsidP="00C00A68">
                                  <w:pPr>
                                    <w:pStyle w:val="Bullet"/>
                                    <w:numPr>
                                      <w:ilvl w:val="0"/>
                                      <w:numId w:val="0"/>
                                    </w:numPr>
                                    <w:ind w:left="1026" w:hanging="567"/>
                                  </w:pPr>
                                </w:p>
                                <w:p w14:paraId="050CB538" w14:textId="77777777" w:rsidR="00C00A68" w:rsidRDefault="00C00A68" w:rsidP="00C00A68">
                                  <w:pPr>
                                    <w:pStyle w:val="Bullet"/>
                                    <w:ind w:left="1026" w:hanging="567"/>
                                  </w:pPr>
                                  <w:r>
                                    <w:t>Użycie nieodpowiedniej ilości wody; należy użyć 100 ml.</w:t>
                                  </w:r>
                                </w:p>
                                <w:p w14:paraId="5390D30D" w14:textId="77777777" w:rsidR="00C00A68" w:rsidRDefault="00C00A68" w:rsidP="00C00A68">
                                  <w:pPr>
                                    <w:pStyle w:val="Bullet"/>
                                    <w:numPr>
                                      <w:ilvl w:val="0"/>
                                      <w:numId w:val="0"/>
                                    </w:numPr>
                                    <w:ind w:left="1026" w:hanging="567"/>
                                  </w:pPr>
                                </w:p>
                                <w:p w14:paraId="75FD6BEB" w14:textId="77777777" w:rsidR="00C00A68" w:rsidRDefault="00C00A68" w:rsidP="00C00A68">
                                  <w:pPr>
                                    <w:pStyle w:val="Bullet"/>
                                    <w:ind w:left="1026" w:hanging="567"/>
                                  </w:pPr>
                                  <w:r>
                                    <w:t>Użycie niewłaściwego rodzaju wody; należy użyć niegazowanej lub gazowanej, butelkowanej wody, zimnej lub o temperaturze pokojowej.</w:t>
                                  </w:r>
                                </w:p>
                                <w:p w14:paraId="1621FA2E" w14:textId="77777777" w:rsidR="00C00A68" w:rsidRDefault="00C00A68" w:rsidP="00C00A68">
                                  <w:pPr>
                                    <w:pStyle w:val="Bullet"/>
                                    <w:numPr>
                                      <w:ilvl w:val="0"/>
                                      <w:numId w:val="0"/>
                                    </w:numPr>
                                    <w:ind w:left="1026" w:hanging="567"/>
                                  </w:pPr>
                                </w:p>
                                <w:p w14:paraId="30876817" w14:textId="77777777" w:rsidR="00C00A68" w:rsidRDefault="00C00A68" w:rsidP="00C00A68">
                                  <w:pPr>
                                    <w:pStyle w:val="Bullet"/>
                                    <w:ind w:left="1026" w:hanging="567"/>
                                  </w:pPr>
                                  <w:r>
                                    <w:t>Wymieszanie zawartości saszetek w złej kolejności: saszetkę nr 1 należy dodać do wody jako pierwszą. Jeśli saszetki zostaną wymieszane w złej kolejności, należy wyrzucić szczepionkę i uzyskać dawkę zastępczą.</w:t>
                                  </w:r>
                                </w:p>
                                <w:p w14:paraId="55B108BB" w14:textId="77777777" w:rsidR="00C00A68" w:rsidRDefault="00C00A68" w:rsidP="00C00A68">
                                  <w:pPr>
                                    <w:pStyle w:val="Bullet"/>
                                    <w:numPr>
                                      <w:ilvl w:val="0"/>
                                      <w:numId w:val="0"/>
                                    </w:numPr>
                                    <w:ind w:left="1026" w:hanging="567"/>
                                  </w:pPr>
                                </w:p>
                                <w:p w14:paraId="4EC95E7E" w14:textId="3A49E1D2" w:rsidR="00C00A68" w:rsidRDefault="00C00A68" w:rsidP="00C00A68">
                                  <w:pPr>
                                    <w:pStyle w:val="Bullet"/>
                                    <w:ind w:left="1026" w:hanging="567"/>
                                  </w:pPr>
                                  <w:r>
                                    <w:t>Spożywanie posiłków i przyjmowanie płynów: nie wolno spożywać posiłków ani przyjmować płynów przez okres 60 minut przed przyjęciem szczepionki oraz przez 60 minut po jej przyjęciu, ponieważ może to zmniejszyć skuteczność szczepionki.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878E6F" id="_x0000_s1027" type="#_x0000_t202" style="position:absolute;margin-left:7.3pt;margin-top:27.1pt;width:439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" fillcolor="#bfbfbf [2412]" strokecolor="#bfbfbf [2412]">
                      <v:textbox style="mso-fit-shape-to-text:t">
                        <w:txbxContent>
                          <w:p w14:paraId="7E77E3AF" w14:textId="1F603364" w:rsidR="00C00A68" w:rsidRDefault="00C00A68" w:rsidP="00C00A68">
                            <w:r>
                              <w:t xml:space="preserve">Szczepionka Vaxchora </w:t>
                            </w:r>
                            <w:r w:rsidRPr="005536EF">
                              <w:rPr>
                                <w:u w:val="single"/>
                              </w:rPr>
                              <w:t>może nie działać</w:t>
                            </w:r>
                            <w:r>
                              <w:t>, jeśli wystąpią następujące sytuacje:</w:t>
                            </w:r>
                          </w:p>
                          <w:p w14:paraId="5866BDF6" w14:textId="77777777" w:rsidR="00C00A68" w:rsidRDefault="00C00A68" w:rsidP="00C00A68"/>
                          <w:p w14:paraId="78927D46" w14:textId="77777777" w:rsidR="00C00A68" w:rsidRDefault="00C00A68" w:rsidP="00C00A68">
                            <w:pPr>
                              <w:pStyle w:val="Bullet"/>
                              <w:ind w:left="1026" w:hanging="567"/>
                            </w:pPr>
                            <w:r>
                              <w:t xml:space="preserve">Niewłaściwe przechowywanie; szczepionka musi być przechowywana w lodówce </w:t>
                            </w:r>
                            <w:r w:rsidRPr="009E4B2F">
                              <w:rPr>
                                <w:noProof/>
                              </w:rPr>
                              <w:t>(2</w:t>
                            </w:r>
                            <w:r w:rsidRPr="009E4B2F">
                              <w:rPr>
                                <w:rFonts w:ascii="Symbol" w:eastAsia="Symbol" w:hAnsi="Symbol" w:cs="Symbol"/>
                                <w:noProof/>
                              </w:rPr>
                              <w:t></w:t>
                            </w:r>
                            <w:r w:rsidRPr="009E4B2F">
                              <w:rPr>
                                <w:noProof/>
                              </w:rPr>
                              <w:t>C</w:t>
                            </w:r>
                            <w:r>
                              <w:rPr>
                                <w:noProof/>
                              </w:rPr>
                              <w:t> </w:t>
                            </w:r>
                            <w:r w:rsidRPr="009E4B2F">
                              <w:rPr>
                                <w:noProof/>
                              </w:rPr>
                              <w:t>–</w:t>
                            </w:r>
                            <w:r>
                              <w:rPr>
                                <w:noProof/>
                              </w:rPr>
                              <w:t> </w:t>
                            </w:r>
                            <w:r w:rsidRPr="009E4B2F">
                              <w:rPr>
                                <w:noProof/>
                              </w:rPr>
                              <w:t>8</w:t>
                            </w:r>
                            <w:r w:rsidRPr="009E4B2F">
                              <w:rPr>
                                <w:rFonts w:ascii="Symbol" w:eastAsia="Symbol" w:hAnsi="Symbol" w:cs="Symbol"/>
                                <w:noProof/>
                              </w:rPr>
                              <w:t></w:t>
                            </w:r>
                            <w:r w:rsidRPr="009E4B2F">
                              <w:rPr>
                                <w:noProof/>
                              </w:rPr>
                              <w:t>C)</w:t>
                            </w:r>
                            <w:r>
                              <w:t>.</w:t>
                            </w:r>
                          </w:p>
                          <w:p w14:paraId="26DCF0C0" w14:textId="77777777" w:rsidR="00C00A68" w:rsidRDefault="00C00A68" w:rsidP="00C00A68">
                            <w:pPr>
                              <w:pStyle w:val="Bullet"/>
                              <w:numPr>
                                <w:ilvl w:val="0"/>
                                <w:numId w:val="0"/>
                              </w:numPr>
                              <w:ind w:left="1026" w:hanging="567"/>
                            </w:pPr>
                          </w:p>
                          <w:p w14:paraId="050CB538" w14:textId="77777777" w:rsidR="00C00A68" w:rsidRDefault="00C00A68" w:rsidP="00C00A68">
                            <w:pPr>
                              <w:pStyle w:val="Bullet"/>
                              <w:ind w:left="1026" w:hanging="567"/>
                            </w:pPr>
                            <w:r>
                              <w:t>Użycie nieodpowiedniej ilości wody; należy użyć 100 ml.</w:t>
                            </w:r>
                          </w:p>
                          <w:p w14:paraId="5390D30D" w14:textId="77777777" w:rsidR="00C00A68" w:rsidRDefault="00C00A68" w:rsidP="00C00A68">
                            <w:pPr>
                              <w:pStyle w:val="Bullet"/>
                              <w:numPr>
                                <w:ilvl w:val="0"/>
                                <w:numId w:val="0"/>
                              </w:numPr>
                              <w:ind w:left="1026" w:hanging="567"/>
                            </w:pPr>
                          </w:p>
                          <w:p w14:paraId="75FD6BEB" w14:textId="77777777" w:rsidR="00C00A68" w:rsidRDefault="00C00A68" w:rsidP="00C00A68">
                            <w:pPr>
                              <w:pStyle w:val="Bullet"/>
                              <w:ind w:left="1026" w:hanging="567"/>
                            </w:pPr>
                            <w:r>
                              <w:t>Użycie niewłaściwego rodzaju wody; należy użyć niegazowanej lub gazowanej, butelkowanej wody, zimnej lub o temperaturze pokojowej.</w:t>
                            </w:r>
                          </w:p>
                          <w:p w14:paraId="1621FA2E" w14:textId="77777777" w:rsidR="00C00A68" w:rsidRDefault="00C00A68" w:rsidP="00C00A68">
                            <w:pPr>
                              <w:pStyle w:val="Bullet"/>
                              <w:numPr>
                                <w:ilvl w:val="0"/>
                                <w:numId w:val="0"/>
                              </w:numPr>
                              <w:ind w:left="1026" w:hanging="567"/>
                            </w:pPr>
                          </w:p>
                          <w:p w14:paraId="30876817" w14:textId="77777777" w:rsidR="00C00A68" w:rsidRDefault="00C00A68" w:rsidP="00C00A68">
                            <w:pPr>
                              <w:pStyle w:val="Bullet"/>
                              <w:ind w:left="1026" w:hanging="567"/>
                            </w:pPr>
                            <w:r>
                              <w:t>Wymieszanie zawartości saszetek w złej kolejności: saszetkę nr 1 należy dodać do wody jako pierwszą. Jeśli saszetki zostaną wymieszane w złej kolejności, należy wyrzucić szczepionkę i uzyskać dawkę zastępczą.</w:t>
                            </w:r>
                          </w:p>
                          <w:p w14:paraId="55B108BB" w14:textId="77777777" w:rsidR="00C00A68" w:rsidRDefault="00C00A68" w:rsidP="00C00A68">
                            <w:pPr>
                              <w:pStyle w:val="Bullet"/>
                              <w:numPr>
                                <w:ilvl w:val="0"/>
                                <w:numId w:val="0"/>
                              </w:numPr>
                              <w:ind w:left="1026" w:hanging="567"/>
                            </w:pPr>
                          </w:p>
                          <w:p w14:paraId="4EC95E7E" w14:textId="3A49E1D2" w:rsidR="00C00A68" w:rsidRDefault="00C00A68" w:rsidP="00C00A68">
                            <w:pPr>
                              <w:pStyle w:val="Bullet"/>
                              <w:ind w:left="1026" w:hanging="567"/>
                            </w:pPr>
                            <w:r>
                              <w:t>Spożywanie posiłków i przyjmowanie płynów: nie wolno spożywać posiłków ani przyjmować płynów przez okres 60 minut przed przyjęciem szczepionki oraz przez 60 minut po jej przyjęciu, ponieważ może to zmniejszyć skuteczność szczepionki.</w:t>
                            </w:r>
                          </w:p>
                        </w:txbxContent>
                      </v:textbox>
                      <w10:wrap type="square"/>
                    </v:shape>
                  </w:pict>
                </mc:Fallback>
              </mc:AlternateContent>
            </w:r>
          </w:p>
          <w:p w14:paraId="27DBFCD3" w14:textId="77777777" w:rsidR="00C00A68" w:rsidRDefault="00C00A68"/>
          <w:p w14:paraId="44D31D6F" w14:textId="3C9E8187" w:rsidR="00E96702" w:rsidRDefault="0095540B">
            <w:r>
              <w:t>Podczas przygotowywania szczepionki nie wolno dotykać oczu, aby nie przenosić zanieczyszczeń.</w:t>
            </w:r>
          </w:p>
          <w:p w14:paraId="721CF679" w14:textId="77777777" w:rsidR="00E96702" w:rsidRDefault="00E96702"/>
          <w:p w14:paraId="5C288747" w14:textId="77777777" w:rsidR="00E96702" w:rsidRDefault="0095540B">
            <w:r>
              <w:t>Jeśli na powierzchnię blatu rozsypie się jakakolwiek ilość proszku lub rozleje się jakakolwiek ilość płynu, należy ją wyczyścić gorącą wodą i mydłem lub przeciwbakteryjnym środkiem dezynfekującym.</w:t>
            </w:r>
          </w:p>
          <w:p w14:paraId="19DA8A6F" w14:textId="77777777" w:rsidR="00E96702" w:rsidRDefault="00E96702"/>
          <w:p w14:paraId="6FFD7D6B" w14:textId="77777777" w:rsidR="00E96702" w:rsidRDefault="0095540B">
            <w:r>
              <w:t>Jeśli dojdzie do rozsypania lub rozlania większej ilości preparatu (więcej niż kilku kropli płynu lub kilku ziaren proszku), należy usunąć szczepionkę i pozyskać nową od lekarza lub farmaceuty; NIE przyjmować pozostałej ilości szczepionki.</w:t>
            </w:r>
          </w:p>
          <w:p w14:paraId="6AC15B71" w14:textId="77777777" w:rsidR="003648DF" w:rsidRDefault="003648DF"/>
        </w:tc>
      </w:tr>
      <w:tr w:rsidR="00E96702" w14:paraId="70F4A1B4" w14:textId="77777777" w:rsidTr="00DA6878">
        <w:trPr>
          <w:cantSplit/>
        </w:trPr>
        <w:tc>
          <w:tcPr>
            <w:tcW w:w="1242" w:type="dxa"/>
            <w:tcBorders>
              <w:top w:val="single" w:sz="2" w:space="0" w:color="auto"/>
              <w:left w:val="single" w:sz="2" w:space="0" w:color="auto"/>
              <w:bottom w:val="single" w:sz="2" w:space="0" w:color="auto"/>
              <w:right w:val="nil"/>
            </w:tcBorders>
          </w:tcPr>
          <w:p w14:paraId="5D0E19AE" w14:textId="77777777" w:rsidR="00E96702" w:rsidRDefault="0095540B">
            <w:r>
              <w:t>Krok 1</w:t>
            </w:r>
          </w:p>
        </w:tc>
        <w:tc>
          <w:tcPr>
            <w:tcW w:w="3686" w:type="dxa"/>
            <w:tcBorders>
              <w:top w:val="single" w:sz="2" w:space="0" w:color="auto"/>
              <w:left w:val="nil"/>
              <w:bottom w:val="single" w:sz="2" w:space="0" w:color="auto"/>
              <w:right w:val="nil"/>
            </w:tcBorders>
          </w:tcPr>
          <w:p w14:paraId="00FC1AA1" w14:textId="77777777" w:rsidR="00E96702" w:rsidRDefault="00E96702">
            <w:pPr>
              <w:jc w:val="center"/>
            </w:pPr>
          </w:p>
        </w:tc>
        <w:tc>
          <w:tcPr>
            <w:tcW w:w="4394" w:type="dxa"/>
            <w:tcBorders>
              <w:top w:val="single" w:sz="2" w:space="0" w:color="auto"/>
              <w:left w:val="nil"/>
              <w:bottom w:val="single" w:sz="2" w:space="0" w:color="auto"/>
              <w:right w:val="single" w:sz="2" w:space="0" w:color="auto"/>
            </w:tcBorders>
          </w:tcPr>
          <w:p w14:paraId="629653F9" w14:textId="77777777" w:rsidR="00E96702" w:rsidRDefault="0095540B">
            <w:r>
              <w:t>Przygotować materiały:</w:t>
            </w:r>
          </w:p>
          <w:p w14:paraId="3C206E38" w14:textId="77777777" w:rsidR="00E96702" w:rsidRDefault="0095540B">
            <w:pPr>
              <w:pStyle w:val="Bullet"/>
            </w:pPr>
            <w:r>
              <w:t>Czysty kubek</w:t>
            </w:r>
          </w:p>
          <w:p w14:paraId="43313BD3" w14:textId="77777777" w:rsidR="00E96702" w:rsidRDefault="0095540B">
            <w:pPr>
              <w:pStyle w:val="Bullet"/>
            </w:pPr>
            <w:r>
              <w:t>Przyrząd do mieszania</w:t>
            </w:r>
          </w:p>
          <w:p w14:paraId="52D0F38E" w14:textId="5EA38A62" w:rsidR="00E96702" w:rsidRDefault="0095540B">
            <w:pPr>
              <w:pStyle w:val="Bullet"/>
            </w:pPr>
            <w:r>
              <w:t>Butelkowaną wodę (niegazowaną</w:t>
            </w:r>
            <w:r w:rsidR="007C17C5">
              <w:t xml:space="preserve"> lub gazowaną</w:t>
            </w:r>
            <w:r>
              <w:t>, zimną lub o temperaturze pokojowej — do 25</w:t>
            </w:r>
            <w:r w:rsidR="000850EA">
              <w:t> </w:t>
            </w:r>
            <w:r>
              <w:t>°C)</w:t>
            </w:r>
          </w:p>
          <w:p w14:paraId="351C69A0" w14:textId="77777777" w:rsidR="00E96702" w:rsidRDefault="0095540B">
            <w:pPr>
              <w:pStyle w:val="Bullet"/>
            </w:pPr>
            <w:r>
              <w:t>Naczynie do odmierzenia 100 ml butelkowanej wody (np. miarkę kuchenną)</w:t>
            </w:r>
          </w:p>
          <w:p w14:paraId="1E0CED34" w14:textId="77777777" w:rsidR="00E96702" w:rsidRDefault="0095540B">
            <w:pPr>
              <w:pStyle w:val="Bullet"/>
            </w:pPr>
            <w:r>
              <w:t>Nożyczki</w:t>
            </w:r>
          </w:p>
        </w:tc>
      </w:tr>
      <w:tr w:rsidR="00E96702" w14:paraId="443F9A02" w14:textId="77777777" w:rsidTr="00DA6878">
        <w:trPr>
          <w:cantSplit/>
        </w:trPr>
        <w:tc>
          <w:tcPr>
            <w:tcW w:w="1242" w:type="dxa"/>
            <w:tcBorders>
              <w:top w:val="single" w:sz="2" w:space="0" w:color="auto"/>
              <w:left w:val="single" w:sz="2" w:space="0" w:color="auto"/>
              <w:bottom w:val="single" w:sz="2" w:space="0" w:color="auto"/>
              <w:right w:val="nil"/>
            </w:tcBorders>
          </w:tcPr>
          <w:p w14:paraId="73EC70F8" w14:textId="77777777" w:rsidR="00E96702" w:rsidRDefault="0095540B">
            <w:r>
              <w:t>Krok 2</w:t>
            </w:r>
          </w:p>
        </w:tc>
        <w:tc>
          <w:tcPr>
            <w:tcW w:w="3686" w:type="dxa"/>
            <w:tcBorders>
              <w:top w:val="single" w:sz="2" w:space="0" w:color="auto"/>
              <w:left w:val="nil"/>
              <w:bottom w:val="single" w:sz="2" w:space="0" w:color="auto"/>
              <w:right w:val="nil"/>
            </w:tcBorders>
          </w:tcPr>
          <w:p w14:paraId="50B6E097" w14:textId="77777777" w:rsidR="00E96702" w:rsidRDefault="00A3153D">
            <w:pPr>
              <w:jc w:val="center"/>
            </w:pPr>
            <w:r>
              <w:rPr>
                <w:noProof/>
                <w:lang w:eastAsia="pl-PL"/>
              </w:rPr>
              <w:drawing>
                <wp:inline distT="0" distB="0" distL="0" distR="0" wp14:anchorId="3304A289" wp14:editId="53DC238E">
                  <wp:extent cx="2000250" cy="14287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1428750"/>
                          </a:xfrm>
                          <a:prstGeom prst="rect">
                            <a:avLst/>
                          </a:prstGeom>
                          <a:noFill/>
                          <a:ln>
                            <a:noFill/>
                          </a:ln>
                        </pic:spPr>
                      </pic:pic>
                    </a:graphicData>
                  </a:graphic>
                </wp:inline>
              </w:drawing>
            </w:r>
          </w:p>
        </w:tc>
        <w:tc>
          <w:tcPr>
            <w:tcW w:w="4394" w:type="dxa"/>
            <w:tcBorders>
              <w:top w:val="single" w:sz="2" w:space="0" w:color="auto"/>
              <w:left w:val="nil"/>
              <w:bottom w:val="single" w:sz="2" w:space="0" w:color="auto"/>
              <w:right w:val="single" w:sz="2" w:space="0" w:color="auto"/>
            </w:tcBorders>
          </w:tcPr>
          <w:p w14:paraId="12D2DC7F" w14:textId="77777777" w:rsidR="00E96702" w:rsidRDefault="0095540B">
            <w:r>
              <w:t>Wyjąć szczepionkę z lodówki.</w:t>
            </w:r>
          </w:p>
          <w:p w14:paraId="3E61AD3C" w14:textId="77777777" w:rsidR="00E96702" w:rsidRDefault="00E96702"/>
        </w:tc>
      </w:tr>
      <w:tr w:rsidR="00E96702" w14:paraId="7F364BFD" w14:textId="77777777" w:rsidTr="00DA6878">
        <w:trPr>
          <w:cantSplit/>
        </w:trPr>
        <w:tc>
          <w:tcPr>
            <w:tcW w:w="1242" w:type="dxa"/>
            <w:tcBorders>
              <w:top w:val="single" w:sz="2" w:space="0" w:color="auto"/>
              <w:left w:val="single" w:sz="2" w:space="0" w:color="auto"/>
              <w:bottom w:val="single" w:sz="2" w:space="0" w:color="auto"/>
              <w:right w:val="nil"/>
            </w:tcBorders>
          </w:tcPr>
          <w:p w14:paraId="570415F1" w14:textId="77777777" w:rsidR="00E96702" w:rsidRDefault="0095540B">
            <w:r>
              <w:lastRenderedPageBreak/>
              <w:t>Krok 3</w:t>
            </w:r>
          </w:p>
        </w:tc>
        <w:tc>
          <w:tcPr>
            <w:tcW w:w="3686" w:type="dxa"/>
            <w:tcBorders>
              <w:top w:val="single" w:sz="2" w:space="0" w:color="auto"/>
              <w:left w:val="nil"/>
              <w:bottom w:val="single" w:sz="2" w:space="0" w:color="auto"/>
              <w:right w:val="nil"/>
            </w:tcBorders>
          </w:tcPr>
          <w:p w14:paraId="52CAA8E0" w14:textId="77777777" w:rsidR="00E96702" w:rsidRDefault="00A3153D">
            <w:pPr>
              <w:jc w:val="center"/>
            </w:pPr>
            <w:r>
              <w:rPr>
                <w:noProof/>
                <w:lang w:eastAsia="pl-PL"/>
              </w:rPr>
              <w:drawing>
                <wp:inline distT="0" distB="0" distL="0" distR="0" wp14:anchorId="3F4CEADC" wp14:editId="04DABF76">
                  <wp:extent cx="1409700" cy="1123950"/>
                  <wp:effectExtent l="0" t="0" r="0" b="0"/>
                  <wp:docPr id="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2">
                            <a:extLst>
                              <a:ext uri="{28A0092B-C50C-407E-A947-70E740481C1C}">
                                <a14:useLocalDpi xmlns:a14="http://schemas.microsoft.com/office/drawing/2010/main" val="0"/>
                              </a:ext>
                            </a:extLst>
                          </a:blip>
                          <a:srcRect l="-1649" t="-53728" r="-1215" b="-54167"/>
                          <a:stretch>
                            <a:fillRect/>
                          </a:stretch>
                        </pic:blipFill>
                        <pic:spPr bwMode="auto">
                          <a:xfrm>
                            <a:off x="0" y="0"/>
                            <a:ext cx="1409700" cy="112395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43BD698C" w14:textId="0E2D813C" w:rsidR="00E96702" w:rsidRDefault="0095540B">
            <w:r>
              <w:t xml:space="preserve">Przygotować dwie saszetki: </w:t>
            </w:r>
            <w:r w:rsidR="00C24B7A">
              <w:t xml:space="preserve">saszetki </w:t>
            </w:r>
            <w:r>
              <w:t>są oznaczone cyframi 1 i 2.</w:t>
            </w:r>
          </w:p>
          <w:p w14:paraId="54870756" w14:textId="77777777" w:rsidR="00E96702" w:rsidRDefault="00E96702"/>
          <w:p w14:paraId="5B314229" w14:textId="0FA340C4" w:rsidR="00E96702" w:rsidRDefault="0095540B">
            <w:r>
              <w:t xml:space="preserve">Saszetka nr 1 zawiera </w:t>
            </w:r>
            <w:r w:rsidR="005214BE">
              <w:t>“B</w:t>
            </w:r>
            <w:r>
              <w:t>ufor</w:t>
            </w:r>
            <w:r w:rsidR="004F6373">
              <w:t xml:space="preserve"> </w:t>
            </w:r>
            <w:r w:rsidR="002F7212">
              <w:t xml:space="preserve">do </w:t>
            </w:r>
            <w:r w:rsidR="004F6373">
              <w:t>szczepionki Vaxchora</w:t>
            </w:r>
            <w:r w:rsidR="005214BE">
              <w:t>”</w:t>
            </w:r>
            <w:r>
              <w:t xml:space="preserve"> i jest czarno-biała. Saszetka nr 2 </w:t>
            </w:r>
            <w:r w:rsidR="00B85A56">
              <w:t xml:space="preserve">zawiera </w:t>
            </w:r>
            <w:r>
              <w:t>“Szczepionk</w:t>
            </w:r>
            <w:r w:rsidR="00B85A56">
              <w:t>ę</w:t>
            </w:r>
            <w:r>
              <w:t xml:space="preserve"> Vaxchora — substancj</w:t>
            </w:r>
            <w:r w:rsidR="00B85A56">
              <w:t>ę</w:t>
            </w:r>
            <w:r>
              <w:t xml:space="preserve"> czynn</w:t>
            </w:r>
            <w:r w:rsidR="00B85A56">
              <w:t>ą</w:t>
            </w:r>
            <w:r>
              <w:t>” i jest niebiesko-biała.</w:t>
            </w:r>
          </w:p>
          <w:p w14:paraId="0BC40985" w14:textId="77777777" w:rsidR="00E96702" w:rsidRDefault="00E96702"/>
          <w:p w14:paraId="7AADF8FF" w14:textId="77777777" w:rsidR="00E96702" w:rsidRDefault="0095540B">
            <w:r>
              <w:t>Jeśli któraś saszetka jest uszkodzona, nie należy używać żadnej z saszetek. Należy skontaktować się z lekarzem, farmaceutą lub pielęgniarką w celu pozyskania dawki zastępczej. Użycie zawartości uszkodzonej saszetki może zmniejszyć skuteczność szczepionki.</w:t>
            </w:r>
          </w:p>
        </w:tc>
      </w:tr>
      <w:tr w:rsidR="00E96702" w14:paraId="0BD4FFA7" w14:textId="77777777" w:rsidTr="00DA6878">
        <w:trPr>
          <w:cantSplit/>
        </w:trPr>
        <w:tc>
          <w:tcPr>
            <w:tcW w:w="1242" w:type="dxa"/>
            <w:tcBorders>
              <w:top w:val="single" w:sz="2" w:space="0" w:color="auto"/>
              <w:left w:val="single" w:sz="2" w:space="0" w:color="auto"/>
              <w:bottom w:val="single" w:sz="2" w:space="0" w:color="auto"/>
              <w:right w:val="nil"/>
            </w:tcBorders>
          </w:tcPr>
          <w:p w14:paraId="610E24C4" w14:textId="77777777" w:rsidR="00E96702" w:rsidRDefault="0095540B">
            <w:r>
              <w:t>Krok 4</w:t>
            </w:r>
          </w:p>
        </w:tc>
        <w:tc>
          <w:tcPr>
            <w:tcW w:w="3686" w:type="dxa"/>
            <w:tcBorders>
              <w:top w:val="single" w:sz="2" w:space="0" w:color="auto"/>
              <w:left w:val="nil"/>
              <w:bottom w:val="single" w:sz="2" w:space="0" w:color="auto"/>
              <w:right w:val="nil"/>
            </w:tcBorders>
          </w:tcPr>
          <w:p w14:paraId="76A556C8" w14:textId="77777777" w:rsidR="00E96702" w:rsidRDefault="00A3153D">
            <w:pPr>
              <w:jc w:val="center"/>
            </w:pPr>
            <w:r>
              <w:rPr>
                <w:noProof/>
                <w:lang w:eastAsia="pl-PL"/>
              </w:rPr>
              <w:drawing>
                <wp:inline distT="0" distB="0" distL="0" distR="0" wp14:anchorId="56EFB48F" wp14:editId="44EEAF9C">
                  <wp:extent cx="1905000" cy="1504950"/>
                  <wp:effectExtent l="0" t="0" r="0" b="0"/>
                  <wp:docPr id="5" name="Picture 5" descr="Screen Shot 2019-08-05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 Shot 2019-08-05 at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50495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3FFF1FDB" w14:textId="77777777" w:rsidR="00E96702" w:rsidRDefault="0095540B">
            <w:r>
              <w:t xml:space="preserve">Odmierzyć 100 ml </w:t>
            </w:r>
            <w:r>
              <w:rPr>
                <w:rStyle w:val="Strong"/>
              </w:rPr>
              <w:t>butelkowanej</w:t>
            </w:r>
            <w:r>
              <w:t xml:space="preserve">, niegazowanej </w:t>
            </w:r>
            <w:r w:rsidR="005904ED">
              <w:t xml:space="preserve">lub gazowanej </w:t>
            </w:r>
            <w:r>
              <w:t>wody, zimnej lub o temperaturze pokojowej, i wlać ją do czystego kubka.</w:t>
            </w:r>
          </w:p>
          <w:p w14:paraId="3975EF4C" w14:textId="77777777" w:rsidR="00E96702" w:rsidRDefault="00E96702"/>
          <w:p w14:paraId="7C6A0F2C" w14:textId="77777777" w:rsidR="00E96702" w:rsidRDefault="0095540B">
            <w:r>
              <w:t>Użycie wody butelkowanej jest konieczne, aby szczepionka była skuteczna — użycie wody innej niż butelkowana (np. wody z kranu) może spowodować, że szczepionka będzie nieskuteczna.</w:t>
            </w:r>
          </w:p>
        </w:tc>
      </w:tr>
      <w:tr w:rsidR="00E96702" w14:paraId="3A988ACC" w14:textId="77777777" w:rsidTr="00DA6878">
        <w:trPr>
          <w:cantSplit/>
        </w:trPr>
        <w:tc>
          <w:tcPr>
            <w:tcW w:w="1242" w:type="dxa"/>
            <w:tcBorders>
              <w:top w:val="single" w:sz="2" w:space="0" w:color="auto"/>
              <w:left w:val="single" w:sz="2" w:space="0" w:color="auto"/>
              <w:bottom w:val="single" w:sz="2" w:space="0" w:color="auto"/>
              <w:right w:val="nil"/>
            </w:tcBorders>
          </w:tcPr>
          <w:p w14:paraId="0560561B" w14:textId="77777777" w:rsidR="00E96702" w:rsidRDefault="0095540B">
            <w:r>
              <w:t>Krok 5</w:t>
            </w:r>
          </w:p>
        </w:tc>
        <w:tc>
          <w:tcPr>
            <w:tcW w:w="3686" w:type="dxa"/>
            <w:tcBorders>
              <w:top w:val="single" w:sz="2" w:space="0" w:color="auto"/>
              <w:left w:val="nil"/>
              <w:bottom w:val="single" w:sz="2" w:space="0" w:color="auto"/>
              <w:right w:val="nil"/>
            </w:tcBorders>
          </w:tcPr>
          <w:p w14:paraId="5BD3F245" w14:textId="77777777" w:rsidR="00E96702" w:rsidRDefault="00A3153D">
            <w:pPr>
              <w:jc w:val="center"/>
            </w:pPr>
            <w:r>
              <w:rPr>
                <w:noProof/>
                <w:lang w:eastAsia="pl-PL"/>
              </w:rPr>
              <w:drawing>
                <wp:inline distT="0" distB="0" distL="0" distR="0" wp14:anchorId="13D3CF76" wp14:editId="3FCAA8E6">
                  <wp:extent cx="1257300" cy="1009650"/>
                  <wp:effectExtent l="0" t="0" r="0" b="0"/>
                  <wp:docPr id="6"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pic:cNvPicPr>
                            <a:picLocks noChangeAspect="1" noChangeArrowheads="1"/>
                          </pic:cNvPicPr>
                        </pic:nvPicPr>
                        <pic:blipFill>
                          <a:blip r:embed="rId14">
                            <a:extLst>
                              <a:ext uri="{28A0092B-C50C-407E-A947-70E740481C1C}">
                                <a14:useLocalDpi xmlns:a14="http://schemas.microsoft.com/office/drawing/2010/main" val="0"/>
                              </a:ext>
                            </a:extLst>
                          </a:blip>
                          <a:srcRect l="-2525" t="-59645" r="-1631" b="-41371"/>
                          <a:stretch>
                            <a:fillRect/>
                          </a:stretch>
                        </pic:blipFill>
                        <pic:spPr bwMode="auto">
                          <a:xfrm>
                            <a:off x="0" y="0"/>
                            <a:ext cx="1257300" cy="100965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6D021E33" w14:textId="77777777" w:rsidR="00E96702" w:rsidRDefault="0095540B">
            <w:r>
              <w:t>Odciąć nożyczkami górną część saszetki nr 1.</w:t>
            </w:r>
          </w:p>
          <w:p w14:paraId="054D8244" w14:textId="77777777" w:rsidR="00E96702" w:rsidRDefault="00E96702"/>
          <w:p w14:paraId="098B285F" w14:textId="157041B3" w:rsidR="00E96702" w:rsidRDefault="0095540B">
            <w:r>
              <w:t>Nie wkładać palców do saszetki. W</w:t>
            </w:r>
            <w:r w:rsidR="000850EA">
              <w:t> </w:t>
            </w:r>
            <w:r>
              <w:t>przypadku dotknięcia zawartości saszetki, należy umyć ręce, aby zmniejszyć ryzyko przeniesienia zanieczyszczeń.</w:t>
            </w:r>
          </w:p>
        </w:tc>
      </w:tr>
      <w:tr w:rsidR="00E96702" w14:paraId="04E838F2" w14:textId="77777777" w:rsidTr="00DA6878">
        <w:trPr>
          <w:cantSplit/>
          <w:trHeight w:val="2237"/>
        </w:trPr>
        <w:tc>
          <w:tcPr>
            <w:tcW w:w="1242" w:type="dxa"/>
            <w:tcBorders>
              <w:top w:val="single" w:sz="2" w:space="0" w:color="auto"/>
              <w:left w:val="single" w:sz="2" w:space="0" w:color="auto"/>
              <w:bottom w:val="single" w:sz="2" w:space="0" w:color="auto"/>
              <w:right w:val="nil"/>
            </w:tcBorders>
          </w:tcPr>
          <w:p w14:paraId="09117620" w14:textId="77777777" w:rsidR="00E96702" w:rsidRDefault="0095540B">
            <w:r>
              <w:t>Krok 6</w:t>
            </w:r>
          </w:p>
        </w:tc>
        <w:tc>
          <w:tcPr>
            <w:tcW w:w="3686" w:type="dxa"/>
            <w:tcBorders>
              <w:top w:val="single" w:sz="2" w:space="0" w:color="auto"/>
              <w:left w:val="nil"/>
              <w:bottom w:val="single" w:sz="2" w:space="0" w:color="auto"/>
              <w:right w:val="nil"/>
            </w:tcBorders>
          </w:tcPr>
          <w:p w14:paraId="7DED5E12" w14:textId="77777777" w:rsidR="00E96702" w:rsidRDefault="00A3153D">
            <w:pPr>
              <w:jc w:val="center"/>
            </w:pPr>
            <w:r>
              <w:rPr>
                <w:noProof/>
                <w:lang w:eastAsia="pl-PL"/>
              </w:rPr>
              <w:drawing>
                <wp:inline distT="0" distB="0" distL="0" distR="0" wp14:anchorId="5CBE60E3" wp14:editId="0E97BC6F">
                  <wp:extent cx="981075" cy="1228725"/>
                  <wp:effectExtent l="0" t="0" r="0" b="0"/>
                  <wp:docPr id="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
                          <pic:cNvPicPr>
                            <a:picLocks noChangeAspect="1" noChangeArrowheads="1"/>
                          </pic:cNvPicPr>
                        </pic:nvPicPr>
                        <pic:blipFill>
                          <a:blip r:embed="rId15">
                            <a:extLst>
                              <a:ext uri="{28A0092B-C50C-407E-A947-70E740481C1C}">
                                <a14:useLocalDpi xmlns:a14="http://schemas.microsoft.com/office/drawing/2010/main" val="0"/>
                              </a:ext>
                            </a:extLst>
                          </a:blip>
                          <a:srcRect l="-29828" r="-35944" b="-574"/>
                          <a:stretch>
                            <a:fillRect/>
                          </a:stretch>
                        </pic:blipFill>
                        <pic:spPr bwMode="auto">
                          <a:xfrm>
                            <a:off x="0" y="0"/>
                            <a:ext cx="981075" cy="1228725"/>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163EDE70" w14:textId="77777777" w:rsidR="00E96702" w:rsidRDefault="0095540B">
            <w:r>
              <w:t>Wsypać całą zawartość saszetki nr 1 do wody w kubku. Rozpuszczaniu będzie towarzyszyć musowanie.</w:t>
            </w:r>
          </w:p>
        </w:tc>
      </w:tr>
      <w:tr w:rsidR="00E96702" w14:paraId="30D6D92A" w14:textId="77777777" w:rsidTr="00DA6878">
        <w:trPr>
          <w:cantSplit/>
        </w:trPr>
        <w:tc>
          <w:tcPr>
            <w:tcW w:w="1242" w:type="dxa"/>
            <w:tcBorders>
              <w:top w:val="single" w:sz="2" w:space="0" w:color="auto"/>
              <w:left w:val="single" w:sz="2" w:space="0" w:color="auto"/>
              <w:bottom w:val="single" w:sz="2" w:space="0" w:color="auto"/>
              <w:right w:val="nil"/>
            </w:tcBorders>
          </w:tcPr>
          <w:p w14:paraId="5BDD4F9D" w14:textId="77777777" w:rsidR="00E96702" w:rsidRDefault="0095540B">
            <w:r>
              <w:t>Krok 7</w:t>
            </w:r>
          </w:p>
        </w:tc>
        <w:tc>
          <w:tcPr>
            <w:tcW w:w="3686" w:type="dxa"/>
            <w:tcBorders>
              <w:top w:val="single" w:sz="2" w:space="0" w:color="auto"/>
              <w:left w:val="nil"/>
              <w:bottom w:val="single" w:sz="2" w:space="0" w:color="auto"/>
              <w:right w:val="nil"/>
            </w:tcBorders>
            <w:tcMar>
              <w:top w:w="28" w:type="dxa"/>
            </w:tcMar>
          </w:tcPr>
          <w:p w14:paraId="5444209C" w14:textId="77777777" w:rsidR="00E96702" w:rsidRDefault="00A3153D">
            <w:pPr>
              <w:jc w:val="center"/>
            </w:pPr>
            <w:r>
              <w:rPr>
                <w:noProof/>
                <w:lang w:eastAsia="pl-PL"/>
              </w:rPr>
              <w:drawing>
                <wp:inline distT="0" distB="0" distL="0" distR="0" wp14:anchorId="6E24AB3D" wp14:editId="0FCA36DA">
                  <wp:extent cx="981075" cy="133350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13335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54A3F40F" w14:textId="77777777" w:rsidR="00E96702" w:rsidRDefault="0095540B">
            <w:r>
              <w:t>Mieszać, aż proszek zostanie całkowicie rozpuszczony.</w:t>
            </w:r>
          </w:p>
        </w:tc>
      </w:tr>
      <w:tr w:rsidR="003648DF" w:rsidRPr="00915112" w14:paraId="6E10C3B5" w14:textId="77777777" w:rsidTr="003648DF">
        <w:tblPrEx>
          <w:tblBorders>
            <w:insideV w:val="none" w:sz="0" w:space="0" w:color="auto"/>
          </w:tblBorders>
          <w:tblCellMar>
            <w:top w:w="0" w:type="dxa"/>
            <w:bottom w:w="0" w:type="dxa"/>
          </w:tblCellMar>
        </w:tblPrEx>
        <w:tc>
          <w:tcPr>
            <w:tcW w:w="1242" w:type="dxa"/>
          </w:tcPr>
          <w:p w14:paraId="3D55E172" w14:textId="77777777" w:rsidR="003648DF" w:rsidRPr="00915112" w:rsidRDefault="003648DF" w:rsidP="00C22906">
            <w:pPr>
              <w:numPr>
                <w:ilvl w:val="12"/>
                <w:numId w:val="0"/>
              </w:numPr>
              <w:ind w:right="-2"/>
              <w:rPr>
                <w:noProof/>
              </w:rPr>
            </w:pPr>
            <w:r>
              <w:rPr>
                <w:noProof/>
              </w:rPr>
              <w:t>Krok </w:t>
            </w:r>
            <w:r w:rsidRPr="00915112">
              <w:rPr>
                <w:noProof/>
              </w:rPr>
              <w:t>8</w:t>
            </w:r>
          </w:p>
        </w:tc>
        <w:tc>
          <w:tcPr>
            <w:tcW w:w="3686" w:type="dxa"/>
          </w:tcPr>
          <w:p w14:paraId="22B6AD4E" w14:textId="336FC825" w:rsidR="003648DF" w:rsidRPr="00915112" w:rsidRDefault="002370D2" w:rsidP="00C22906">
            <w:pPr>
              <w:ind w:right="-2"/>
              <w:jc w:val="center"/>
              <w:rPr>
                <w:noProof/>
              </w:rPr>
            </w:pPr>
            <w:r>
              <w:rPr>
                <w:noProof/>
                <w:lang w:eastAsia="pl-PL"/>
              </w:rPr>
              <mc:AlternateContent>
                <mc:Choice Requires="wps">
                  <w:drawing>
                    <wp:anchor distT="0" distB="0" distL="114300" distR="114300" simplePos="0" relativeHeight="251657728" behindDoc="0" locked="0" layoutInCell="1" allowOverlap="1" wp14:anchorId="5BA70E0E" wp14:editId="68843846">
                      <wp:simplePos x="0" y="0"/>
                      <wp:positionH relativeFrom="column">
                        <wp:posOffset>739140</wp:posOffset>
                      </wp:positionH>
                      <wp:positionV relativeFrom="paragraph">
                        <wp:posOffset>941705</wp:posOffset>
                      </wp:positionV>
                      <wp:extent cx="575945" cy="127635"/>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127635"/>
                              </a:xfrm>
                              <a:prstGeom prst="rect">
                                <a:avLst/>
                              </a:prstGeom>
                              <a:solidFill>
                                <a:sysClr val="window" lastClr="FFFFFF">
                                  <a:lumMod val="100000"/>
                                  <a:lumOff val="0"/>
                                </a:sysClr>
                              </a:solidFill>
                              <a:ln>
                                <a:noFill/>
                              </a:ln>
                            </wps:spPr>
                            <wps:txbx>
                              <w:txbxContent>
                                <w:p w14:paraId="13499908" w14:textId="77777777" w:rsidR="002F7212" w:rsidRPr="00DA6878" w:rsidRDefault="002F7212" w:rsidP="00DA6878">
                                  <w:pPr>
                                    <w:jc w:val="right"/>
                                    <w:rPr>
                                      <w:rFonts w:ascii="Arial" w:hAnsi="Arial" w:cs="Arial"/>
                                      <w:sz w:val="12"/>
                                      <w:szCs w:val="12"/>
                                    </w:rPr>
                                  </w:pPr>
                                  <w:r w:rsidRPr="00DA6878">
                                    <w:rPr>
                                      <w:rFonts w:ascii="Arial" w:hAnsi="Arial" w:cs="Arial"/>
                                      <w:sz w:val="12"/>
                                      <w:szCs w:val="12"/>
                                    </w:rPr>
                                    <w:sym w:font="Symbol" w:char="F0BB"/>
                                  </w:r>
                                  <w:r w:rsidRPr="00DA6878">
                                    <w:rPr>
                                      <w:rFonts w:ascii="Arial" w:hAnsi="Arial" w:cs="Arial"/>
                                      <w:sz w:val="12"/>
                                      <w:szCs w:val="12"/>
                                    </w:rPr>
                                    <w:t xml:space="preserve"> 50</w:t>
                                  </w:r>
                                  <w:r>
                                    <w:rPr>
                                      <w:rFonts w:ascii="Arial" w:hAnsi="Arial" w:cs="Arial"/>
                                      <w:sz w:val="12"/>
                                      <w:szCs w:val="12"/>
                                    </w:rPr>
                                    <w:t> </w:t>
                                  </w:r>
                                  <w:r w:rsidRPr="00DA6878">
                                    <w:rPr>
                                      <w:rFonts w:ascii="Arial" w:hAnsi="Arial" w:cs="Arial"/>
                                      <w:sz w:val="12"/>
                                      <w:szCs w:val="12"/>
                                    </w:rPr>
                                    <w:t>m</w:t>
                                  </w:r>
                                  <w:r>
                                    <w:rPr>
                                      <w:rFonts w:ascii="Arial" w:hAnsi="Arial" w:cs="Arial"/>
                                      <w:sz w:val="12"/>
                                      <w:szCs w:val="12"/>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70E0E" id="Text Box 1" o:spid="_x0000_s1028" type="#_x0000_t202" style="position:absolute;left:0;text-align:left;margin-left:58.2pt;margin-top:74.15pt;width:45.35pt;height:1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" stroked="f">
                      <v:textbox inset="0,0,0,0">
                        <w:txbxContent>
                          <w:p w14:paraId="13499908" w14:textId="77777777" w:rsidR="002F7212" w:rsidRPr="00DA6878" w:rsidRDefault="002F7212" w:rsidP="00DA6878">
                            <w:pPr>
                              <w:jc w:val="right"/>
                              <w:rPr>
                                <w:rFonts w:ascii="Arial" w:hAnsi="Arial" w:cs="Arial"/>
                                <w:sz w:val="12"/>
                                <w:szCs w:val="12"/>
                              </w:rPr>
                            </w:pPr>
                            <w:r w:rsidRPr="00DA6878">
                              <w:rPr>
                                <w:rFonts w:ascii="Arial" w:hAnsi="Arial" w:cs="Arial"/>
                                <w:sz w:val="12"/>
                                <w:szCs w:val="12"/>
                              </w:rPr>
                              <w:sym w:font="Symbol" w:char="F0BB"/>
                            </w:r>
                            <w:r w:rsidRPr="00DA6878">
                              <w:rPr>
                                <w:rFonts w:ascii="Arial" w:hAnsi="Arial" w:cs="Arial"/>
                                <w:sz w:val="12"/>
                                <w:szCs w:val="12"/>
                              </w:rPr>
                              <w:t xml:space="preserve"> 50</w:t>
                            </w:r>
                            <w:r>
                              <w:rPr>
                                <w:rFonts w:ascii="Arial" w:hAnsi="Arial" w:cs="Arial"/>
                                <w:sz w:val="12"/>
                                <w:szCs w:val="12"/>
                              </w:rPr>
                              <w:t> </w:t>
                            </w:r>
                            <w:r w:rsidRPr="00DA6878">
                              <w:rPr>
                                <w:rFonts w:ascii="Arial" w:hAnsi="Arial" w:cs="Arial"/>
                                <w:sz w:val="12"/>
                                <w:szCs w:val="12"/>
                              </w:rPr>
                              <w:t>m</w:t>
                            </w:r>
                            <w:r>
                              <w:rPr>
                                <w:rFonts w:ascii="Arial" w:hAnsi="Arial" w:cs="Arial"/>
                                <w:sz w:val="12"/>
                                <w:szCs w:val="12"/>
                              </w:rPr>
                              <w:t>l</w:t>
                            </w:r>
                          </w:p>
                        </w:txbxContent>
                      </v:textbox>
                    </v:shape>
                  </w:pict>
                </mc:Fallback>
              </mc:AlternateContent>
            </w:r>
            <w:r w:rsidR="00A3153D">
              <w:rPr>
                <w:noProof/>
                <w:lang w:eastAsia="pl-PL"/>
              </w:rPr>
              <w:drawing>
                <wp:inline distT="0" distB="0" distL="0" distR="0" wp14:anchorId="32D30627" wp14:editId="649FE28D">
                  <wp:extent cx="1104900" cy="1085850"/>
                  <wp:effectExtent l="0" t="0" r="0" b="0"/>
                  <wp:docPr id="9" name="Picture 13" descr="Step 8 crop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p 8 crop tif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4900" cy="1085850"/>
                          </a:xfrm>
                          <a:prstGeom prst="rect">
                            <a:avLst/>
                          </a:prstGeom>
                          <a:noFill/>
                          <a:ln>
                            <a:noFill/>
                          </a:ln>
                        </pic:spPr>
                      </pic:pic>
                    </a:graphicData>
                  </a:graphic>
                </wp:inline>
              </w:drawing>
            </w:r>
          </w:p>
        </w:tc>
        <w:tc>
          <w:tcPr>
            <w:tcW w:w="4375" w:type="dxa"/>
          </w:tcPr>
          <w:p w14:paraId="55234979" w14:textId="0EB4BD95" w:rsidR="003648DF" w:rsidRPr="003648DF" w:rsidRDefault="003648DF" w:rsidP="00C22906">
            <w:pPr>
              <w:numPr>
                <w:ilvl w:val="12"/>
                <w:numId w:val="0"/>
              </w:numPr>
              <w:ind w:right="-2"/>
              <w:rPr>
                <w:b/>
                <w:i/>
                <w:noProof/>
              </w:rPr>
            </w:pPr>
            <w:r>
              <w:rPr>
                <w:b/>
                <w:i/>
                <w:noProof/>
              </w:rPr>
              <w:t>Wyłącznie w przypadku dzieci w wieku od 2 do </w:t>
            </w:r>
            <w:r w:rsidR="006E0C7F">
              <w:rPr>
                <w:b/>
                <w:i/>
                <w:noProof/>
              </w:rPr>
              <w:t>&lt;</w:t>
            </w:r>
            <w:r w:rsidR="000850EA">
              <w:rPr>
                <w:b/>
                <w:i/>
                <w:noProof/>
              </w:rPr>
              <w:t> </w:t>
            </w:r>
            <w:r>
              <w:rPr>
                <w:b/>
                <w:i/>
                <w:noProof/>
              </w:rPr>
              <w:t>6 lat</w:t>
            </w:r>
            <w:r w:rsidRPr="003648DF">
              <w:rPr>
                <w:b/>
                <w:i/>
                <w:noProof/>
              </w:rPr>
              <w:t>:</w:t>
            </w:r>
          </w:p>
          <w:p w14:paraId="45C69361" w14:textId="5ED1D325" w:rsidR="003648DF" w:rsidRPr="003648DF" w:rsidRDefault="006E0C7F" w:rsidP="00C22906">
            <w:pPr>
              <w:numPr>
                <w:ilvl w:val="12"/>
                <w:numId w:val="0"/>
              </w:numPr>
              <w:ind w:right="-2"/>
              <w:rPr>
                <w:noProof/>
              </w:rPr>
            </w:pPr>
            <w:r>
              <w:rPr>
                <w:noProof/>
              </w:rPr>
              <w:t>Wylać i</w:t>
            </w:r>
            <w:r w:rsidR="000850EA">
              <w:rPr>
                <w:noProof/>
              </w:rPr>
              <w:t> </w:t>
            </w:r>
            <w:r>
              <w:rPr>
                <w:noProof/>
              </w:rPr>
              <w:t>usunąć połowę roztworu bufora</w:t>
            </w:r>
            <w:r w:rsidR="003648DF" w:rsidRPr="003648DF">
              <w:rPr>
                <w:noProof/>
              </w:rPr>
              <w:t>. (</w:t>
            </w:r>
            <w:r>
              <w:rPr>
                <w:noProof/>
              </w:rPr>
              <w:t>Uwaga</w:t>
            </w:r>
            <w:r w:rsidR="003648DF" w:rsidRPr="003648DF">
              <w:rPr>
                <w:noProof/>
              </w:rPr>
              <w:t xml:space="preserve">: </w:t>
            </w:r>
            <w:r>
              <w:rPr>
                <w:noProof/>
              </w:rPr>
              <w:t>w przypadku dzieci w wieku powyżej 6 lat i</w:t>
            </w:r>
            <w:r w:rsidR="000850EA">
              <w:rPr>
                <w:noProof/>
              </w:rPr>
              <w:t> </w:t>
            </w:r>
            <w:r>
              <w:rPr>
                <w:noProof/>
              </w:rPr>
              <w:t>dorosłych ten krok NIE jest wymagany).</w:t>
            </w:r>
          </w:p>
        </w:tc>
      </w:tr>
      <w:tr w:rsidR="00E96702" w14:paraId="24C819F1" w14:textId="77777777" w:rsidTr="00DA6878">
        <w:trPr>
          <w:cantSplit/>
        </w:trPr>
        <w:tc>
          <w:tcPr>
            <w:tcW w:w="1242" w:type="dxa"/>
            <w:tcBorders>
              <w:top w:val="single" w:sz="2" w:space="0" w:color="auto"/>
              <w:left w:val="single" w:sz="2" w:space="0" w:color="auto"/>
              <w:bottom w:val="single" w:sz="2" w:space="0" w:color="auto"/>
              <w:right w:val="nil"/>
            </w:tcBorders>
          </w:tcPr>
          <w:p w14:paraId="1430DDEF" w14:textId="77777777" w:rsidR="00E96702" w:rsidRDefault="0095540B">
            <w:r>
              <w:lastRenderedPageBreak/>
              <w:t>Krok </w:t>
            </w:r>
            <w:r w:rsidR="00582451">
              <w:t>9</w:t>
            </w:r>
          </w:p>
        </w:tc>
        <w:tc>
          <w:tcPr>
            <w:tcW w:w="3686" w:type="dxa"/>
            <w:tcBorders>
              <w:top w:val="single" w:sz="2" w:space="0" w:color="auto"/>
              <w:left w:val="nil"/>
              <w:bottom w:val="single" w:sz="2" w:space="0" w:color="auto"/>
              <w:right w:val="nil"/>
            </w:tcBorders>
          </w:tcPr>
          <w:p w14:paraId="31BED1F2" w14:textId="77777777" w:rsidR="00E96702" w:rsidRDefault="00A3153D">
            <w:pPr>
              <w:jc w:val="center"/>
            </w:pPr>
            <w:r>
              <w:rPr>
                <w:noProof/>
                <w:lang w:eastAsia="pl-PL"/>
              </w:rPr>
              <w:drawing>
                <wp:inline distT="0" distB="0" distL="0" distR="0" wp14:anchorId="64C33A00" wp14:editId="3094F8BA">
                  <wp:extent cx="1200150" cy="962025"/>
                  <wp:effectExtent l="0" t="0" r="0" b="0"/>
                  <wp:docPr id="10"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
                          <pic:cNvPicPr>
                            <a:picLocks noChangeAspect="1" noChangeArrowheads="1"/>
                          </pic:cNvPicPr>
                        </pic:nvPicPr>
                        <pic:blipFill>
                          <a:blip r:embed="rId18">
                            <a:extLst>
                              <a:ext uri="{28A0092B-C50C-407E-A947-70E740481C1C}">
                                <a14:useLocalDpi xmlns:a14="http://schemas.microsoft.com/office/drawing/2010/main" val="0"/>
                              </a:ext>
                            </a:extLst>
                          </a:blip>
                          <a:srcRect l="-2094" t="-57677" r="-2039" b="-44193"/>
                          <a:stretch>
                            <a:fillRect/>
                          </a:stretch>
                        </pic:blipFill>
                        <pic:spPr bwMode="auto">
                          <a:xfrm>
                            <a:off x="0" y="0"/>
                            <a:ext cx="1200150" cy="962025"/>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00890CA1" w14:textId="77777777" w:rsidR="00E96702" w:rsidRDefault="0095540B">
            <w:r>
              <w:t>Odciąć nożyczkami górną część saszetki nr 2.</w:t>
            </w:r>
          </w:p>
          <w:p w14:paraId="24B63C8E" w14:textId="77777777" w:rsidR="00E96702" w:rsidRDefault="00E96702"/>
          <w:p w14:paraId="7E3DD2AC" w14:textId="78DBE330" w:rsidR="00E96702" w:rsidRDefault="0095540B">
            <w:r>
              <w:t>Nie wkładać palców do saszetki. W</w:t>
            </w:r>
            <w:r w:rsidR="000850EA">
              <w:t> </w:t>
            </w:r>
            <w:r>
              <w:t>przypadku dotknięcia zawartości saszetki, należy umyć ręce, aby zmniejszyć ryzyko przeniesienia zanieczyszczeń.</w:t>
            </w:r>
          </w:p>
        </w:tc>
      </w:tr>
      <w:tr w:rsidR="00E96702" w14:paraId="0BEB1CC4" w14:textId="77777777" w:rsidTr="00DA6878">
        <w:trPr>
          <w:cantSplit/>
          <w:trHeight w:val="2463"/>
        </w:trPr>
        <w:tc>
          <w:tcPr>
            <w:tcW w:w="1242" w:type="dxa"/>
            <w:tcBorders>
              <w:top w:val="single" w:sz="2" w:space="0" w:color="auto"/>
              <w:left w:val="single" w:sz="2" w:space="0" w:color="auto"/>
              <w:bottom w:val="single" w:sz="2" w:space="0" w:color="auto"/>
              <w:right w:val="nil"/>
            </w:tcBorders>
          </w:tcPr>
          <w:p w14:paraId="2B9801C0" w14:textId="77777777" w:rsidR="00E96702" w:rsidRDefault="0095540B">
            <w:r>
              <w:t>Krok </w:t>
            </w:r>
            <w:r w:rsidR="00582451">
              <w:t>10</w:t>
            </w:r>
          </w:p>
        </w:tc>
        <w:tc>
          <w:tcPr>
            <w:tcW w:w="3686" w:type="dxa"/>
            <w:tcBorders>
              <w:top w:val="single" w:sz="2" w:space="0" w:color="auto"/>
              <w:left w:val="nil"/>
              <w:bottom w:val="single" w:sz="2" w:space="0" w:color="auto"/>
              <w:right w:val="nil"/>
            </w:tcBorders>
          </w:tcPr>
          <w:p w14:paraId="0187FC5E" w14:textId="77777777" w:rsidR="00E96702" w:rsidRDefault="00A3153D">
            <w:pPr>
              <w:jc w:val="center"/>
            </w:pPr>
            <w:r>
              <w:rPr>
                <w:noProof/>
                <w:lang w:eastAsia="pl-PL"/>
              </w:rPr>
              <w:drawing>
                <wp:inline distT="0" distB="0" distL="0" distR="0" wp14:anchorId="5E16D288" wp14:editId="2C9798E1">
                  <wp:extent cx="1095375" cy="1371600"/>
                  <wp:effectExtent l="0" t="0" r="0" b="0"/>
                  <wp:docPr id="11"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
                          <pic:cNvPicPr>
                            <a:picLocks noChangeAspect="1" noChangeArrowheads="1"/>
                          </pic:cNvPicPr>
                        </pic:nvPicPr>
                        <pic:blipFill>
                          <a:blip r:embed="rId19">
                            <a:extLst>
                              <a:ext uri="{28A0092B-C50C-407E-A947-70E740481C1C}">
                                <a14:useLocalDpi xmlns:a14="http://schemas.microsoft.com/office/drawing/2010/main" val="0"/>
                              </a:ext>
                            </a:extLst>
                          </a:blip>
                          <a:srcRect l="-32121" r="-32793" b="-279"/>
                          <a:stretch>
                            <a:fillRect/>
                          </a:stretch>
                        </pic:blipFill>
                        <pic:spPr bwMode="auto">
                          <a:xfrm>
                            <a:off x="0" y="0"/>
                            <a:ext cx="1095375" cy="13716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58E95EEA" w14:textId="77777777" w:rsidR="00E96702" w:rsidRDefault="0095540B">
            <w:r>
              <w:t>Wsypać całą zawartość saszetki nr 2 do kubka.</w:t>
            </w:r>
          </w:p>
        </w:tc>
      </w:tr>
      <w:tr w:rsidR="00E96702" w14:paraId="373652AF" w14:textId="77777777" w:rsidTr="00DA6878">
        <w:trPr>
          <w:cantSplit/>
        </w:trPr>
        <w:tc>
          <w:tcPr>
            <w:tcW w:w="1242" w:type="dxa"/>
            <w:tcBorders>
              <w:top w:val="single" w:sz="2" w:space="0" w:color="auto"/>
              <w:left w:val="single" w:sz="2" w:space="0" w:color="auto"/>
              <w:bottom w:val="single" w:sz="2" w:space="0" w:color="auto"/>
              <w:right w:val="nil"/>
            </w:tcBorders>
          </w:tcPr>
          <w:p w14:paraId="55BB3D67" w14:textId="77777777" w:rsidR="00E96702" w:rsidRDefault="0095540B">
            <w:r>
              <w:t>Krok 1</w:t>
            </w:r>
            <w:r w:rsidR="00582451">
              <w:t>1</w:t>
            </w:r>
          </w:p>
        </w:tc>
        <w:tc>
          <w:tcPr>
            <w:tcW w:w="3686" w:type="dxa"/>
            <w:tcBorders>
              <w:top w:val="single" w:sz="2" w:space="0" w:color="auto"/>
              <w:left w:val="nil"/>
              <w:bottom w:val="single" w:sz="2" w:space="0" w:color="auto"/>
              <w:right w:val="nil"/>
            </w:tcBorders>
          </w:tcPr>
          <w:p w14:paraId="0B2F8D16" w14:textId="77777777" w:rsidR="00E96702" w:rsidRDefault="00A3153D">
            <w:pPr>
              <w:jc w:val="center"/>
            </w:pPr>
            <w:r>
              <w:rPr>
                <w:noProof/>
                <w:lang w:eastAsia="pl-PL"/>
              </w:rPr>
              <w:drawing>
                <wp:inline distT="0" distB="0" distL="0" distR="0" wp14:anchorId="4ED0B1AD" wp14:editId="373D0DB1">
                  <wp:extent cx="981075" cy="142875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1075" cy="142875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3A44315A" w14:textId="77777777" w:rsidR="00E96702" w:rsidRDefault="0095540B">
            <w:r>
              <w:t>Mieszać przez co najmniej 30 sekund. Proszek z saszetki nr 2 może nie rozpuścić się całkowicie. Powstanie lekko mętna zawiesina z pewną ilością białych cząstek stałych.</w:t>
            </w:r>
          </w:p>
          <w:p w14:paraId="6526118D" w14:textId="77777777" w:rsidR="00582451" w:rsidRDefault="00582451"/>
          <w:p w14:paraId="007C2F7C" w14:textId="06369296" w:rsidR="00582451" w:rsidRDefault="00582451">
            <w:r w:rsidRPr="00582451">
              <w:t>W</w:t>
            </w:r>
            <w:r w:rsidR="000850EA">
              <w:t> </w:t>
            </w:r>
            <w:r w:rsidRPr="00582451">
              <w:t xml:space="preserve">razie potrzeby </w:t>
            </w:r>
            <w:r>
              <w:t xml:space="preserve">po mieszaniu </w:t>
            </w:r>
            <w:r w:rsidR="009D5034">
              <w:t xml:space="preserve">zawiesiny zawartości saszetki nr 2 </w:t>
            </w:r>
            <w:r>
              <w:t xml:space="preserve">przez co najmniej 30 sekund można dodać </w:t>
            </w:r>
            <w:r w:rsidR="009D5034">
              <w:t xml:space="preserve">do niej </w:t>
            </w:r>
            <w:r w:rsidRPr="00582451">
              <w:t>słodzik stewiowy (nie więcej niż 1 gram / ¼ łyżeczki)</w:t>
            </w:r>
            <w:r>
              <w:t xml:space="preserve"> lub cukier (</w:t>
            </w:r>
            <w:r w:rsidRPr="00582451">
              <w:t>sacharozę</w:t>
            </w:r>
            <w:r>
              <w:t>, nie więcej niż</w:t>
            </w:r>
            <w:r w:rsidRPr="00582451">
              <w:t xml:space="preserve"> 4 g</w:t>
            </w:r>
            <w:r>
              <w:t>ramy</w:t>
            </w:r>
            <w:r w:rsidRPr="00582451">
              <w:t xml:space="preserve"> / 1 łyżeczk</w:t>
            </w:r>
            <w:r>
              <w:t>ę</w:t>
            </w:r>
            <w:r w:rsidRPr="00582451">
              <w:t>)</w:t>
            </w:r>
            <w:r w:rsidR="009D5034">
              <w:t>, a</w:t>
            </w:r>
            <w:r w:rsidR="000850EA">
              <w:t> </w:t>
            </w:r>
            <w:r w:rsidR="009D5034">
              <w:t>następnie wymieszać</w:t>
            </w:r>
            <w:r>
              <w:t>.</w:t>
            </w:r>
            <w:r w:rsidRPr="00582451">
              <w:t xml:space="preserve"> NIE dodawać innych substancji słodzących, ponieważ może to obniżyć skuteczność działania szczepionki.</w:t>
            </w:r>
          </w:p>
        </w:tc>
      </w:tr>
      <w:tr w:rsidR="00E96702" w14:paraId="49ACFD90" w14:textId="77777777" w:rsidTr="00DA6878">
        <w:trPr>
          <w:cantSplit/>
        </w:trPr>
        <w:tc>
          <w:tcPr>
            <w:tcW w:w="1242" w:type="dxa"/>
            <w:tcBorders>
              <w:top w:val="single" w:sz="2" w:space="0" w:color="auto"/>
              <w:left w:val="single" w:sz="2" w:space="0" w:color="auto"/>
              <w:bottom w:val="single" w:sz="2" w:space="0" w:color="auto"/>
              <w:right w:val="nil"/>
            </w:tcBorders>
          </w:tcPr>
          <w:p w14:paraId="3A0EC49D" w14:textId="77777777" w:rsidR="00E96702" w:rsidRDefault="0095540B">
            <w:r>
              <w:t>Krok </w:t>
            </w:r>
            <w:r w:rsidR="009D5034">
              <w:t>12</w:t>
            </w:r>
          </w:p>
        </w:tc>
        <w:tc>
          <w:tcPr>
            <w:tcW w:w="3686" w:type="dxa"/>
            <w:tcBorders>
              <w:top w:val="single" w:sz="2" w:space="0" w:color="auto"/>
              <w:left w:val="nil"/>
              <w:bottom w:val="single" w:sz="2" w:space="0" w:color="auto"/>
              <w:right w:val="nil"/>
            </w:tcBorders>
          </w:tcPr>
          <w:p w14:paraId="63999373" w14:textId="77777777" w:rsidR="00E96702" w:rsidRDefault="00A3153D">
            <w:pPr>
              <w:jc w:val="center"/>
            </w:pPr>
            <w:r>
              <w:rPr>
                <w:noProof/>
                <w:lang w:eastAsia="pl-PL"/>
              </w:rPr>
              <w:drawing>
                <wp:inline distT="0" distB="0" distL="0" distR="0" wp14:anchorId="3C4322F5" wp14:editId="76A0DACE">
                  <wp:extent cx="1600200" cy="1276350"/>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0200" cy="127635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15BA8982" w14:textId="56A58F33" w:rsidR="009D5034" w:rsidRDefault="0095540B" w:rsidP="009D5034">
            <w:r>
              <w:t xml:space="preserve">Wypić całą zawartość kubka w ciągu 15 minut od przygotowania. Na dnie </w:t>
            </w:r>
            <w:r w:rsidR="00B85A56">
              <w:t xml:space="preserve">kubka </w:t>
            </w:r>
            <w:r>
              <w:t>może pozostać pewna ilość osadu, którą należy wyrzucić.</w:t>
            </w:r>
            <w:r w:rsidR="009D5034">
              <w:t xml:space="preserve"> Jeśli </w:t>
            </w:r>
            <w:r w:rsidR="00737AE3">
              <w:t>pacjent przyjmie mniej niż połowę dawki, n</w:t>
            </w:r>
            <w:r w:rsidR="009D5034">
              <w:t xml:space="preserve">ależy </w:t>
            </w:r>
            <w:r w:rsidR="00737AE3">
              <w:t xml:space="preserve">od razu </w:t>
            </w:r>
            <w:r w:rsidR="009D5034">
              <w:t xml:space="preserve">skontaktować się z lekarzem, farmaceutą lub pielęgniarką, aby otrzymać dawkę </w:t>
            </w:r>
            <w:r w:rsidR="00737AE3">
              <w:t>powtórną</w:t>
            </w:r>
            <w:r w:rsidR="009D5034">
              <w:t>.</w:t>
            </w:r>
          </w:p>
          <w:p w14:paraId="3039F4D4" w14:textId="77777777" w:rsidR="009D5034" w:rsidRDefault="009D5034" w:rsidP="009D5034"/>
          <w:p w14:paraId="3A723020" w14:textId="77777777" w:rsidR="00E96702" w:rsidRDefault="00E96702"/>
        </w:tc>
      </w:tr>
      <w:tr w:rsidR="00E96702" w14:paraId="1B225F99" w14:textId="77777777" w:rsidTr="00DA6878">
        <w:trPr>
          <w:cantSplit/>
          <w:trHeight w:val="3391"/>
        </w:trPr>
        <w:tc>
          <w:tcPr>
            <w:tcW w:w="1242" w:type="dxa"/>
            <w:tcBorders>
              <w:top w:val="single" w:sz="2" w:space="0" w:color="auto"/>
              <w:left w:val="single" w:sz="2" w:space="0" w:color="auto"/>
              <w:bottom w:val="single" w:sz="2" w:space="0" w:color="auto"/>
              <w:right w:val="nil"/>
            </w:tcBorders>
          </w:tcPr>
          <w:p w14:paraId="0C885129" w14:textId="77777777" w:rsidR="00E96702" w:rsidRDefault="0095540B">
            <w:r>
              <w:t>Krok 1</w:t>
            </w:r>
            <w:r w:rsidR="00737AE3">
              <w:t>3</w:t>
            </w:r>
          </w:p>
        </w:tc>
        <w:tc>
          <w:tcPr>
            <w:tcW w:w="3686" w:type="dxa"/>
            <w:tcBorders>
              <w:top w:val="single" w:sz="2" w:space="0" w:color="auto"/>
              <w:left w:val="nil"/>
              <w:bottom w:val="single" w:sz="2" w:space="0" w:color="auto"/>
              <w:right w:val="nil"/>
            </w:tcBorders>
            <w:tcMar>
              <w:top w:w="28" w:type="dxa"/>
            </w:tcMar>
          </w:tcPr>
          <w:p w14:paraId="649E4F2F" w14:textId="77777777" w:rsidR="00E96702" w:rsidRDefault="00E96702">
            <w:pPr>
              <w:jc w:val="center"/>
            </w:pPr>
          </w:p>
          <w:p w14:paraId="2850AE3E" w14:textId="77777777" w:rsidR="00E96702" w:rsidRDefault="00A3153D">
            <w:pPr>
              <w:jc w:val="center"/>
            </w:pPr>
            <w:r>
              <w:rPr>
                <w:noProof/>
                <w:lang w:eastAsia="pl-PL"/>
              </w:rPr>
              <w:drawing>
                <wp:inline distT="0" distB="0" distL="0" distR="0" wp14:anchorId="13F70DD2" wp14:editId="07D9E3DF">
                  <wp:extent cx="1085850" cy="2038350"/>
                  <wp:effectExtent l="0" t="0" r="0" b="0"/>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5850" cy="203835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3A395724" w14:textId="77777777" w:rsidR="00E96702" w:rsidRDefault="0095540B">
            <w:r>
              <w:t>Wyrzucić puste saszetki zgodnie z lokalnymi wytycznymi dotyczącymi bezpieczeństwa biologicznego.</w:t>
            </w:r>
          </w:p>
          <w:p w14:paraId="44D0D905" w14:textId="77777777" w:rsidR="00E96702" w:rsidRDefault="0095540B">
            <w:r>
              <w:t>Należy zapytać lekarza, farmaceutę lub pielęgniarkę, w jaki sposób pozbyć się odpadów medycznych.</w:t>
            </w:r>
          </w:p>
        </w:tc>
      </w:tr>
      <w:tr w:rsidR="00E96702" w14:paraId="56AD24AF" w14:textId="77777777" w:rsidTr="00DA6878">
        <w:trPr>
          <w:cantSplit/>
        </w:trPr>
        <w:tc>
          <w:tcPr>
            <w:tcW w:w="1242" w:type="dxa"/>
            <w:tcBorders>
              <w:top w:val="single" w:sz="2" w:space="0" w:color="auto"/>
              <w:left w:val="single" w:sz="2" w:space="0" w:color="auto"/>
              <w:bottom w:val="single" w:sz="2" w:space="0" w:color="auto"/>
              <w:right w:val="nil"/>
            </w:tcBorders>
          </w:tcPr>
          <w:p w14:paraId="10BA2EB3" w14:textId="77777777" w:rsidR="00E96702" w:rsidRDefault="0095540B">
            <w:r>
              <w:lastRenderedPageBreak/>
              <w:t>Krok 1</w:t>
            </w:r>
            <w:r w:rsidR="00737AE3">
              <w:t>4</w:t>
            </w:r>
          </w:p>
        </w:tc>
        <w:tc>
          <w:tcPr>
            <w:tcW w:w="3686" w:type="dxa"/>
            <w:tcBorders>
              <w:top w:val="single" w:sz="2" w:space="0" w:color="auto"/>
              <w:left w:val="nil"/>
              <w:bottom w:val="single" w:sz="2" w:space="0" w:color="auto"/>
              <w:right w:val="nil"/>
            </w:tcBorders>
            <w:tcMar>
              <w:top w:w="28" w:type="dxa"/>
            </w:tcMar>
          </w:tcPr>
          <w:p w14:paraId="519E52C2" w14:textId="77777777" w:rsidR="00E96702" w:rsidRDefault="00A3153D">
            <w:pPr>
              <w:jc w:val="center"/>
            </w:pPr>
            <w:r>
              <w:rPr>
                <w:noProof/>
                <w:lang w:eastAsia="pl-PL"/>
              </w:rPr>
              <w:drawing>
                <wp:inline distT="0" distB="0" distL="0" distR="0" wp14:anchorId="4D07866D" wp14:editId="34BCE814">
                  <wp:extent cx="1676400" cy="81915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6400" cy="81915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41D9AC20" w14:textId="77777777" w:rsidR="00E96702" w:rsidRDefault="0095540B">
            <w:r>
              <w:t>Jeśli doszło do rozlania płynu podczas mieszania lub picia leku, bądź pozostały jakiekolwiek jego resztki (proszek lub płyn z przyrządu do mieszania, kubka lub innego przedmiotu) na powierzchni blatu, na którym mieszano lek, rozlany płyn lub pozostałości, należy usunąć najlepiej jednorazowym ręcznikiem papierowym / jednorazową ściereczką, używając gorącej wody i mydła lub przeciwbakteryjnego środka dezynfekującego. Wyrzucić ręcznik papierowy wraz z saszetkami (patrz powyżej).</w:t>
            </w:r>
          </w:p>
        </w:tc>
      </w:tr>
      <w:tr w:rsidR="00E96702" w14:paraId="3B87AEB8" w14:textId="77777777" w:rsidTr="00DA6878">
        <w:trPr>
          <w:cantSplit/>
        </w:trPr>
        <w:tc>
          <w:tcPr>
            <w:tcW w:w="1242" w:type="dxa"/>
            <w:tcBorders>
              <w:top w:val="single" w:sz="2" w:space="0" w:color="auto"/>
              <w:left w:val="single" w:sz="2" w:space="0" w:color="auto"/>
              <w:bottom w:val="single" w:sz="2" w:space="0" w:color="auto"/>
              <w:right w:val="nil"/>
            </w:tcBorders>
          </w:tcPr>
          <w:p w14:paraId="4B653E57" w14:textId="77777777" w:rsidR="00E96702" w:rsidRDefault="0095540B">
            <w:r>
              <w:t>Krok 1</w:t>
            </w:r>
            <w:r w:rsidR="00737AE3">
              <w:t>5</w:t>
            </w:r>
          </w:p>
        </w:tc>
        <w:tc>
          <w:tcPr>
            <w:tcW w:w="3686" w:type="dxa"/>
            <w:tcBorders>
              <w:top w:val="single" w:sz="2" w:space="0" w:color="auto"/>
              <w:left w:val="nil"/>
              <w:bottom w:val="single" w:sz="2" w:space="0" w:color="auto"/>
              <w:right w:val="nil"/>
            </w:tcBorders>
            <w:tcMar>
              <w:top w:w="28" w:type="dxa"/>
            </w:tcMar>
          </w:tcPr>
          <w:p w14:paraId="0615779C" w14:textId="77777777" w:rsidR="00E96702" w:rsidRDefault="00A3153D">
            <w:pPr>
              <w:jc w:val="center"/>
            </w:pPr>
            <w:r>
              <w:rPr>
                <w:noProof/>
                <w:lang w:eastAsia="pl-PL"/>
              </w:rPr>
              <w:drawing>
                <wp:inline distT="0" distB="0" distL="0" distR="0" wp14:anchorId="4E2010FF" wp14:editId="3F38D649">
                  <wp:extent cx="1352550" cy="17907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52550" cy="17907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009A53A6" w14:textId="76A23A24" w:rsidR="00E96702" w:rsidRDefault="0095540B">
            <w:r>
              <w:t>Umyć kubek i łyżeczkę lub mieszadło mydłem i gorącą wodą.</w:t>
            </w:r>
          </w:p>
        </w:tc>
      </w:tr>
      <w:tr w:rsidR="00E96702" w14:paraId="10381AD8" w14:textId="77777777" w:rsidTr="00DA6878">
        <w:trPr>
          <w:cantSplit/>
          <w:trHeight w:val="2624"/>
        </w:trPr>
        <w:tc>
          <w:tcPr>
            <w:tcW w:w="1242" w:type="dxa"/>
            <w:tcBorders>
              <w:top w:val="single" w:sz="2" w:space="0" w:color="auto"/>
              <w:left w:val="single" w:sz="2" w:space="0" w:color="auto"/>
              <w:bottom w:val="single" w:sz="2" w:space="0" w:color="auto"/>
              <w:right w:val="nil"/>
            </w:tcBorders>
          </w:tcPr>
          <w:p w14:paraId="5F469126" w14:textId="77777777" w:rsidR="00E96702" w:rsidRDefault="0095540B">
            <w:r>
              <w:t>Krok 1</w:t>
            </w:r>
            <w:r w:rsidR="00737AE3">
              <w:t>6</w:t>
            </w:r>
          </w:p>
        </w:tc>
        <w:tc>
          <w:tcPr>
            <w:tcW w:w="3686" w:type="dxa"/>
            <w:tcBorders>
              <w:top w:val="single" w:sz="2" w:space="0" w:color="auto"/>
              <w:left w:val="nil"/>
              <w:bottom w:val="single" w:sz="2" w:space="0" w:color="auto"/>
              <w:right w:val="nil"/>
            </w:tcBorders>
            <w:tcMar>
              <w:top w:w="28" w:type="dxa"/>
            </w:tcMar>
          </w:tcPr>
          <w:p w14:paraId="313B4EF9" w14:textId="77777777" w:rsidR="00E96702" w:rsidRDefault="00A3153D">
            <w:pPr>
              <w:jc w:val="center"/>
            </w:pPr>
            <w:r>
              <w:rPr>
                <w:noProof/>
                <w:lang w:eastAsia="pl-PL"/>
              </w:rPr>
              <w:drawing>
                <wp:inline distT="0" distB="0" distL="0" distR="0" wp14:anchorId="02818B96" wp14:editId="3ED49D88">
                  <wp:extent cx="1143000" cy="16002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0" cy="1600200"/>
                          </a:xfrm>
                          <a:prstGeom prst="rect">
                            <a:avLst/>
                          </a:prstGeom>
                          <a:noFill/>
                          <a:ln>
                            <a:noFill/>
                          </a:ln>
                        </pic:spPr>
                      </pic:pic>
                    </a:graphicData>
                  </a:graphic>
                </wp:inline>
              </w:drawing>
            </w:r>
          </w:p>
        </w:tc>
        <w:tc>
          <w:tcPr>
            <w:tcW w:w="4375" w:type="dxa"/>
            <w:tcBorders>
              <w:top w:val="single" w:sz="2" w:space="0" w:color="auto"/>
              <w:left w:val="nil"/>
              <w:bottom w:val="single" w:sz="2" w:space="0" w:color="auto"/>
              <w:right w:val="single" w:sz="2" w:space="0" w:color="auto"/>
            </w:tcBorders>
          </w:tcPr>
          <w:p w14:paraId="4B517D13" w14:textId="77777777" w:rsidR="00E96702" w:rsidRDefault="0095540B">
            <w:r>
              <w:t>Umyć dokładnie ręce mydłem i gorącą wodą, aby zapobiec przenoszeniu zanieczyszczeń.</w:t>
            </w:r>
          </w:p>
        </w:tc>
      </w:tr>
    </w:tbl>
    <w:p w14:paraId="536A9B3F" w14:textId="77777777" w:rsidR="00E96702" w:rsidRDefault="00E96702"/>
    <w:p w14:paraId="1AF873E1" w14:textId="3E730226" w:rsidR="00E96702" w:rsidRDefault="0095540B">
      <w:r>
        <w:t>W razie jakichkolwiek dalszych wątpliwości związanych ze stosowaniem tego leku należy zwrócić się do lekarza, farmaceuty lub pielęgniarki.</w:t>
      </w:r>
    </w:p>
    <w:p w14:paraId="48824E63" w14:textId="77777777" w:rsidR="00E96702" w:rsidRDefault="00E96702"/>
    <w:p w14:paraId="4A060907" w14:textId="77777777" w:rsidR="00E96702" w:rsidRPr="00753772" w:rsidRDefault="0095540B" w:rsidP="00EC4F10">
      <w:pPr>
        <w:rPr>
          <w:b/>
          <w:bCs/>
          <w:color w:val="FFFFFF" w:themeColor="background1"/>
          <w:highlight w:val="black"/>
        </w:rPr>
      </w:pPr>
      <w:r w:rsidRPr="00753772">
        <w:rPr>
          <w:b/>
          <w:bCs/>
          <w:color w:val="FFFFFF" w:themeColor="background1"/>
          <w:highlight w:val="black"/>
        </w:rPr>
        <w:t>4.</w:t>
      </w:r>
      <w:r w:rsidRPr="00753772">
        <w:rPr>
          <w:b/>
          <w:bCs/>
          <w:color w:val="FFFFFF" w:themeColor="background1"/>
          <w:highlight w:val="black"/>
        </w:rPr>
        <w:tab/>
        <w:t>Możliwe działania niepożądane</w:t>
      </w:r>
    </w:p>
    <w:p w14:paraId="64951BF2" w14:textId="77777777" w:rsidR="00E96702" w:rsidRDefault="00E96702">
      <w:pPr>
        <w:keepNext/>
      </w:pPr>
    </w:p>
    <w:p w14:paraId="475DFAEA" w14:textId="54F60897" w:rsidR="00E96702" w:rsidRDefault="007C6689">
      <w:r>
        <w:rPr>
          <w:noProof/>
        </w:rPr>
        <mc:AlternateContent>
          <mc:Choice Requires="wps">
            <w:drawing>
              <wp:anchor distT="45720" distB="45720" distL="114300" distR="114300" simplePos="0" relativeHeight="251663872" behindDoc="0" locked="0" layoutInCell="1" allowOverlap="1" wp14:anchorId="3A1B817F" wp14:editId="5050F985">
                <wp:simplePos x="0" y="0"/>
                <wp:positionH relativeFrom="margin">
                  <wp:align>right</wp:align>
                </wp:positionH>
                <wp:positionV relativeFrom="paragraph">
                  <wp:posOffset>490855</wp:posOffset>
                </wp:positionV>
                <wp:extent cx="5753100" cy="1404620"/>
                <wp:effectExtent l="0" t="0" r="19050" b="19050"/>
                <wp:wrapSquare wrapText="bothSides"/>
                <wp:docPr id="2010860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chemeClr val="bg1">
                            <a:lumMod val="75000"/>
                          </a:schemeClr>
                        </a:solidFill>
                        <a:ln w="9525">
                          <a:solidFill>
                            <a:schemeClr val="bg1">
                              <a:lumMod val="75000"/>
                            </a:schemeClr>
                          </a:solidFill>
                          <a:miter lim="800000"/>
                          <a:headEnd/>
                          <a:tailEnd/>
                        </a:ln>
                      </wps:spPr>
                      <wps:txbx>
                        <w:txbxContent>
                          <w:p w14:paraId="0E2F44D5" w14:textId="67857153" w:rsidR="007C6689" w:rsidRDefault="007C6689" w:rsidP="007C6689">
                            <w:r w:rsidRPr="005727E5">
                              <w:rPr>
                                <w:b/>
                                <w:bCs/>
                              </w:rPr>
                              <w:t>Należy niezwłocznie skontaktować się z lekarzem</w:t>
                            </w:r>
                            <w:r>
                              <w:t xml:space="preserve"> w przypadku wystąpienia następujących poważnych działań niepożądanych:</w:t>
                            </w:r>
                          </w:p>
                          <w:p w14:paraId="7BCC1EFD" w14:textId="7317050F" w:rsidR="007C6689" w:rsidRDefault="007C6689" w:rsidP="007C6689">
                            <w:pPr>
                              <w:pStyle w:val="Bullet"/>
                            </w:pPr>
                            <w:r>
                              <w:t>poważnych reakcji alergicznych powodujących obrzęk twarzy lub gardła, pokrzywkę, swędzącą wysypkę, duszności i/lub spadek ciśnienia krwi i omdlenie.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1B817F" id="_x0000_s1029" type="#_x0000_t202" style="position:absolute;margin-left:401.8pt;margin-top:38.65pt;width:453pt;height:110.6pt;z-index:2516638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" fillcolor="#bfbfbf [2412]" strokecolor="#bfbfbf [2412]">
                <v:textbox style="mso-fit-shape-to-text:t">
                  <w:txbxContent>
                    <w:p w14:paraId="0E2F44D5" w14:textId="67857153" w:rsidR="007C6689" w:rsidRDefault="007C6689" w:rsidP="007C6689">
                      <w:r w:rsidRPr="005727E5">
                        <w:rPr>
                          <w:b/>
                          <w:bCs/>
                        </w:rPr>
                        <w:t>Należy niezwłocznie skontaktować się z lekarzem</w:t>
                      </w:r>
                      <w:r>
                        <w:t xml:space="preserve"> w przypadku wystąpienia następujących poważnych działań niepożądanych:</w:t>
                      </w:r>
                    </w:p>
                    <w:p w14:paraId="7BCC1EFD" w14:textId="7317050F" w:rsidR="007C6689" w:rsidRDefault="007C6689" w:rsidP="007C6689">
                      <w:pPr>
                        <w:pStyle w:val="Bullet"/>
                      </w:pPr>
                      <w:r>
                        <w:t>poważnych reakcji alergicznych powodujących obrzęk twarzy lub gardła, pokrzywkę, swędzącą wysypkę, duszności i/lub spadek ciśnienia krwi i omdlenie.</w:t>
                      </w:r>
                    </w:p>
                  </w:txbxContent>
                </v:textbox>
                <w10:wrap type="square" anchorx="margin"/>
              </v:shape>
            </w:pict>
          </mc:Fallback>
        </mc:AlternateContent>
      </w:r>
      <w:r w:rsidR="0095540B">
        <w:t>Jak każda szczepionka, szczepionka ta może powodować działania niepożądane, chociaż nie u każdego one wystąpią.</w:t>
      </w:r>
    </w:p>
    <w:p w14:paraId="4D275FB0" w14:textId="77777777" w:rsidR="007C6689" w:rsidRDefault="007C6689">
      <w:pPr>
        <w:keepNext/>
      </w:pPr>
    </w:p>
    <w:p w14:paraId="256818C8" w14:textId="1C88F4E3" w:rsidR="00E96702" w:rsidRDefault="0095540B">
      <w:pPr>
        <w:keepNext/>
      </w:pPr>
      <w:r>
        <w:t>Inne działania niepożądane:</w:t>
      </w:r>
    </w:p>
    <w:p w14:paraId="258B74B1" w14:textId="77777777" w:rsidR="00E96702" w:rsidRDefault="0095540B">
      <w:pPr>
        <w:keepNext/>
      </w:pPr>
      <w:r>
        <w:t>Bardzo częste działania niepożądane (mogą wystąpić u więcej niż 1 na 10 osób)</w:t>
      </w:r>
    </w:p>
    <w:p w14:paraId="7D0DAD46" w14:textId="28737736" w:rsidR="00736CF7" w:rsidRDefault="00736CF7" w:rsidP="00736CF7">
      <w:pPr>
        <w:pStyle w:val="Bullet"/>
      </w:pPr>
      <w:r>
        <w:t>zmęczenie,</w:t>
      </w:r>
    </w:p>
    <w:p w14:paraId="72088171" w14:textId="77777777" w:rsidR="00E96702" w:rsidRDefault="0095540B">
      <w:pPr>
        <w:pStyle w:val="Bullet"/>
      </w:pPr>
      <w:r>
        <w:t>ból głowy,</w:t>
      </w:r>
    </w:p>
    <w:p w14:paraId="4B5AAF68" w14:textId="77777777" w:rsidR="00E96702" w:rsidRDefault="0095540B">
      <w:pPr>
        <w:pStyle w:val="Bullet"/>
      </w:pPr>
      <w:r>
        <w:t>ból brzucha,</w:t>
      </w:r>
    </w:p>
    <w:p w14:paraId="7107FD39" w14:textId="77777777" w:rsidR="00E96702" w:rsidRDefault="0095540B">
      <w:pPr>
        <w:pStyle w:val="Bullet"/>
      </w:pPr>
      <w:r>
        <w:t>nudności lub wymioty,</w:t>
      </w:r>
    </w:p>
    <w:p w14:paraId="5A8A68BE" w14:textId="2ABA5254" w:rsidR="00E96702" w:rsidRDefault="00352051">
      <w:pPr>
        <w:pStyle w:val="Bullet"/>
      </w:pPr>
      <w:r>
        <w:t xml:space="preserve">zmniejszony </w:t>
      </w:r>
      <w:r w:rsidR="0095540B">
        <w:t>apetyt</w:t>
      </w:r>
      <w:r w:rsidR="00736CF7">
        <w:t>.</w:t>
      </w:r>
    </w:p>
    <w:p w14:paraId="7CFDB1D8" w14:textId="77777777" w:rsidR="00E96702" w:rsidRDefault="00E96702"/>
    <w:p w14:paraId="2B9CACB9" w14:textId="77777777" w:rsidR="00E96702" w:rsidRDefault="0095540B">
      <w:pPr>
        <w:keepNext/>
      </w:pPr>
      <w:r>
        <w:lastRenderedPageBreak/>
        <w:t>Częste działania niepożądane (mogą wystąpić u nie więcej niż 1 na 10 osób)</w:t>
      </w:r>
    </w:p>
    <w:p w14:paraId="349AF56C" w14:textId="77777777" w:rsidR="00E96702" w:rsidRDefault="0095540B">
      <w:pPr>
        <w:pStyle w:val="Bullet"/>
      </w:pPr>
      <w:r>
        <w:t>biegunka.</w:t>
      </w:r>
    </w:p>
    <w:p w14:paraId="37C5FD43" w14:textId="77777777" w:rsidR="00E96702" w:rsidRDefault="00E96702"/>
    <w:p w14:paraId="4191C2B0" w14:textId="77777777" w:rsidR="00E96702" w:rsidRDefault="0095540B">
      <w:pPr>
        <w:keepNext/>
      </w:pPr>
      <w:r>
        <w:t>Niezbyt częste działania niepożądane (mogą wystąpić u nie więcej niż 1 na 100 osób)</w:t>
      </w:r>
    </w:p>
    <w:p w14:paraId="063276E7" w14:textId="34EB3830" w:rsidR="00736CF7" w:rsidRPr="00736CF7" w:rsidRDefault="00736CF7" w:rsidP="00736CF7">
      <w:pPr>
        <w:pStyle w:val="Bullet"/>
        <w:rPr>
          <w:lang w:eastAsia="pl-PL"/>
        </w:rPr>
      </w:pPr>
      <w:r w:rsidRPr="00736CF7">
        <w:rPr>
          <w:lang w:eastAsia="pl-PL"/>
        </w:rPr>
        <w:t>gorączka,</w:t>
      </w:r>
    </w:p>
    <w:p w14:paraId="59081E9C" w14:textId="5618853C" w:rsidR="00736CF7" w:rsidRPr="00736CF7" w:rsidRDefault="00736CF7" w:rsidP="00736CF7">
      <w:pPr>
        <w:pStyle w:val="Bullet"/>
        <w:rPr>
          <w:lang w:eastAsia="pl-PL"/>
        </w:rPr>
      </w:pPr>
      <w:r w:rsidRPr="00736CF7">
        <w:rPr>
          <w:lang w:eastAsia="pl-PL"/>
        </w:rPr>
        <w:t>ból stawów,</w:t>
      </w:r>
    </w:p>
    <w:p w14:paraId="278B2456" w14:textId="55A57251" w:rsidR="00736CF7" w:rsidRPr="00736CF7" w:rsidRDefault="00736CF7" w:rsidP="00736CF7">
      <w:pPr>
        <w:pStyle w:val="Bullet"/>
        <w:rPr>
          <w:lang w:eastAsia="pl-PL"/>
        </w:rPr>
      </w:pPr>
      <w:r w:rsidRPr="00736CF7">
        <w:rPr>
          <w:lang w:eastAsia="pl-PL"/>
        </w:rPr>
        <w:t>zawroty głowy,</w:t>
      </w:r>
    </w:p>
    <w:p w14:paraId="1FFDACAB" w14:textId="60C4CC04" w:rsidR="00736CF7" w:rsidRPr="00736CF7" w:rsidRDefault="00736CF7" w:rsidP="00736CF7">
      <w:pPr>
        <w:pStyle w:val="Bullet"/>
        <w:rPr>
          <w:lang w:eastAsia="pl-PL"/>
        </w:rPr>
      </w:pPr>
      <w:r>
        <w:t>wzdęcie (jamy brzusznej</w:t>
      </w:r>
      <w:r w:rsidRPr="00736CF7">
        <w:rPr>
          <w:lang w:eastAsia="pl-PL"/>
        </w:rPr>
        <w:t>),</w:t>
      </w:r>
    </w:p>
    <w:p w14:paraId="61D5E327" w14:textId="286FB699" w:rsidR="00736CF7" w:rsidRPr="00736CF7" w:rsidRDefault="00736CF7" w:rsidP="00736CF7">
      <w:pPr>
        <w:pStyle w:val="Bullet"/>
        <w:rPr>
          <w:lang w:eastAsia="pl-PL"/>
        </w:rPr>
      </w:pPr>
      <w:r w:rsidRPr="00736CF7">
        <w:rPr>
          <w:lang w:eastAsia="pl-PL"/>
        </w:rPr>
        <w:t>wysypka,</w:t>
      </w:r>
    </w:p>
    <w:p w14:paraId="6578307F" w14:textId="6AB29362" w:rsidR="00736CF7" w:rsidRPr="00736CF7" w:rsidRDefault="00A4602C" w:rsidP="00736CF7">
      <w:pPr>
        <w:pStyle w:val="Bullet"/>
        <w:rPr>
          <w:lang w:eastAsia="pl-PL"/>
        </w:rPr>
      </w:pPr>
      <w:r>
        <w:t>suchość w jamie ustnej</w:t>
      </w:r>
      <w:r w:rsidR="00736CF7" w:rsidRPr="00736CF7">
        <w:rPr>
          <w:lang w:eastAsia="pl-PL"/>
        </w:rPr>
        <w:t>,</w:t>
      </w:r>
    </w:p>
    <w:p w14:paraId="4EE97677" w14:textId="4BBF9F17" w:rsidR="00736CF7" w:rsidRPr="00736CF7" w:rsidRDefault="00736CF7" w:rsidP="00736CF7">
      <w:pPr>
        <w:pStyle w:val="Bullet"/>
        <w:rPr>
          <w:lang w:eastAsia="pl-PL"/>
        </w:rPr>
      </w:pPr>
      <w:r w:rsidRPr="00736CF7">
        <w:rPr>
          <w:lang w:eastAsia="pl-PL"/>
        </w:rPr>
        <w:t>zaparcie,</w:t>
      </w:r>
    </w:p>
    <w:p w14:paraId="6D729682" w14:textId="459C9D93" w:rsidR="00736CF7" w:rsidRPr="00736CF7" w:rsidRDefault="00736CF7" w:rsidP="00736CF7">
      <w:pPr>
        <w:pStyle w:val="Bullet"/>
        <w:rPr>
          <w:lang w:eastAsia="pl-PL"/>
        </w:rPr>
      </w:pPr>
      <w:r>
        <w:t>gazy jelitowe</w:t>
      </w:r>
      <w:r w:rsidRPr="00736CF7">
        <w:rPr>
          <w:lang w:eastAsia="pl-PL"/>
        </w:rPr>
        <w:t>,</w:t>
      </w:r>
    </w:p>
    <w:p w14:paraId="6004ECEA" w14:textId="29D07E1A" w:rsidR="00736CF7" w:rsidRPr="00736CF7" w:rsidRDefault="00736CF7" w:rsidP="00736CF7">
      <w:pPr>
        <w:pStyle w:val="Bullet"/>
        <w:rPr>
          <w:lang w:eastAsia="pl-PL"/>
        </w:rPr>
      </w:pPr>
      <w:r w:rsidRPr="00736CF7">
        <w:rPr>
          <w:lang w:eastAsia="pl-PL"/>
        </w:rPr>
        <w:t>odbijanie</w:t>
      </w:r>
      <w:r w:rsidR="00A4602C">
        <w:rPr>
          <w:lang w:eastAsia="pl-PL"/>
        </w:rPr>
        <w:t xml:space="preserve"> się</w:t>
      </w:r>
      <w:r w:rsidRPr="00736CF7">
        <w:rPr>
          <w:lang w:eastAsia="pl-PL"/>
        </w:rPr>
        <w:t>,</w:t>
      </w:r>
    </w:p>
    <w:p w14:paraId="3801B83B" w14:textId="7A14CCCE" w:rsidR="00736CF7" w:rsidRPr="00736CF7" w:rsidRDefault="00736CF7" w:rsidP="00736CF7">
      <w:pPr>
        <w:pStyle w:val="Bullet"/>
        <w:rPr>
          <w:lang w:eastAsia="pl-PL"/>
        </w:rPr>
      </w:pPr>
      <w:r w:rsidRPr="00736CF7">
        <w:rPr>
          <w:lang w:eastAsia="pl-PL"/>
        </w:rPr>
        <w:t>niestrawność,</w:t>
      </w:r>
    </w:p>
    <w:p w14:paraId="35058680" w14:textId="4C71B6C6" w:rsidR="00736CF7" w:rsidRPr="00736CF7" w:rsidRDefault="00736CF7" w:rsidP="00736CF7">
      <w:pPr>
        <w:pStyle w:val="Bullet"/>
        <w:rPr>
          <w:lang w:eastAsia="pl-PL"/>
        </w:rPr>
      </w:pPr>
      <w:r>
        <w:t>nietypowy stolec</w:t>
      </w:r>
      <w:r w:rsidRPr="00736CF7">
        <w:rPr>
          <w:lang w:eastAsia="pl-PL"/>
        </w:rPr>
        <w:t>.</w:t>
      </w:r>
    </w:p>
    <w:p w14:paraId="7E5F8976" w14:textId="77777777" w:rsidR="00E96702" w:rsidRDefault="00E96702"/>
    <w:p w14:paraId="322971BF" w14:textId="77777777" w:rsidR="00E96702" w:rsidRDefault="0095540B">
      <w:pPr>
        <w:keepNext/>
      </w:pPr>
      <w:r>
        <w:t>Rzadkie działania niepożądane (mogą wystąpić u nie więcej niż 1 na 1 000 osób):</w:t>
      </w:r>
    </w:p>
    <w:p w14:paraId="7AFD8C37" w14:textId="77777777" w:rsidR="00E96702" w:rsidRDefault="0095540B">
      <w:pPr>
        <w:pStyle w:val="Bullet"/>
      </w:pPr>
      <w:r>
        <w:t>dreszcze.</w:t>
      </w:r>
    </w:p>
    <w:p w14:paraId="6BF92665" w14:textId="77777777" w:rsidR="00E96702" w:rsidRDefault="00E96702"/>
    <w:p w14:paraId="788DFA4A" w14:textId="4424A7EB" w:rsidR="00A50C9E" w:rsidRPr="00A50C9E" w:rsidRDefault="00A50C9E" w:rsidP="00A50C9E">
      <w:r w:rsidRPr="00A50C9E">
        <w:t>Dodatkowe działania niepożądane u</w:t>
      </w:r>
      <w:r w:rsidR="000850EA">
        <w:t> </w:t>
      </w:r>
      <w:r w:rsidRPr="00A50C9E">
        <w:t>dzieci i</w:t>
      </w:r>
      <w:r w:rsidR="000850EA">
        <w:t> </w:t>
      </w:r>
      <w:r w:rsidRPr="00A50C9E">
        <w:t>młodzieży</w:t>
      </w:r>
    </w:p>
    <w:p w14:paraId="79C7E064" w14:textId="592F3180" w:rsidR="00A50C9E" w:rsidRPr="00A50C9E" w:rsidRDefault="00A50C9E" w:rsidP="00A50C9E">
      <w:r w:rsidRPr="00A50C9E">
        <w:t>Na podstawie badań klinicznych oczekuje się, że rodzaj</w:t>
      </w:r>
      <w:r>
        <w:t>e</w:t>
      </w:r>
      <w:r w:rsidRPr="00A50C9E">
        <w:t xml:space="preserve"> działań niepożądanych u</w:t>
      </w:r>
      <w:r w:rsidR="000850EA">
        <w:t> </w:t>
      </w:r>
      <w:r w:rsidRPr="00A50C9E">
        <w:t>dzieci będ</w:t>
      </w:r>
      <w:r>
        <w:t>ą</w:t>
      </w:r>
      <w:r w:rsidRPr="00A50C9E">
        <w:t xml:space="preserve"> podobn</w:t>
      </w:r>
      <w:r>
        <w:t>e</w:t>
      </w:r>
      <w:r w:rsidRPr="00A50C9E">
        <w:t xml:space="preserve"> jak u</w:t>
      </w:r>
      <w:r w:rsidR="000850EA">
        <w:t> </w:t>
      </w:r>
      <w:r w:rsidRPr="00A50C9E">
        <w:t>dorosłych. Niektóre działania niepożądane występowały częściej u</w:t>
      </w:r>
      <w:r w:rsidR="000850EA">
        <w:t> </w:t>
      </w:r>
      <w:r w:rsidRPr="00A50C9E">
        <w:t>dzieci niż u</w:t>
      </w:r>
      <w:r>
        <w:t> </w:t>
      </w:r>
      <w:r w:rsidRPr="00A50C9E">
        <w:t>dorosłych, takie jak zmęczenie, ból brzucha, wymioty, zmniejsz</w:t>
      </w:r>
      <w:r w:rsidR="00804C6F">
        <w:t>ony</w:t>
      </w:r>
      <w:r w:rsidRPr="00A50C9E">
        <w:t xml:space="preserve"> apetyt i</w:t>
      </w:r>
      <w:r>
        <w:t> </w:t>
      </w:r>
      <w:r w:rsidRPr="00A50C9E">
        <w:t>gorączka.</w:t>
      </w:r>
    </w:p>
    <w:p w14:paraId="3833895D" w14:textId="77777777" w:rsidR="00A50C9E" w:rsidRDefault="00A50C9E"/>
    <w:p w14:paraId="5042D9D1" w14:textId="77777777" w:rsidR="00E96702" w:rsidRDefault="0095540B">
      <w:pPr>
        <w:pStyle w:val="HeadingStrong"/>
      </w:pPr>
      <w:r>
        <w:t>Zgłaszanie działań niepożądanych</w:t>
      </w:r>
    </w:p>
    <w:p w14:paraId="0BD1F267" w14:textId="77777777" w:rsidR="00BF19A5" w:rsidRDefault="0095540B" w:rsidP="00BF19A5">
      <w:r>
        <w:t xml:space="preserve">Jeśli wystąpią jakiekolwiek objawy niepożądane, w tym wszelkie objawy niepożądane niewymienione w tej ulotce, należy powiedzieć o tym lekarzowi, farmaceucie lub pielęgniarce. Działania niepożądane można zgłaszać bezpośrednio do </w:t>
      </w:r>
      <w:r w:rsidR="00BF19A5">
        <w:t xml:space="preserve">Departament Monitorowania Niepożądanych Działań Produktów </w:t>
      </w:r>
    </w:p>
    <w:p w14:paraId="104D033B" w14:textId="77777777" w:rsidR="00BF19A5" w:rsidRDefault="00BF19A5" w:rsidP="00BF19A5">
      <w:r>
        <w:t xml:space="preserve">Leczniczych Urzędu Rejestracji Produktów Leczniczych, Wyrobów Medycznych i Produktów </w:t>
      </w:r>
    </w:p>
    <w:p w14:paraId="7581AF8B" w14:textId="77777777" w:rsidR="00BF19A5" w:rsidRDefault="00BF19A5" w:rsidP="00BF19A5">
      <w:r>
        <w:t xml:space="preserve">Biobójczych </w:t>
      </w:r>
    </w:p>
    <w:p w14:paraId="0B3861C8" w14:textId="77777777" w:rsidR="00BF19A5" w:rsidRDefault="00BF19A5" w:rsidP="00BF19A5">
      <w:r>
        <w:t xml:space="preserve">Al. Jerozolimskie 181C </w:t>
      </w:r>
    </w:p>
    <w:p w14:paraId="0D0BF9EB" w14:textId="77777777" w:rsidR="00BF19A5" w:rsidRDefault="00BF19A5" w:rsidP="00BF19A5">
      <w:r>
        <w:t xml:space="preserve">PL-02 222 Warszawa </w:t>
      </w:r>
    </w:p>
    <w:p w14:paraId="1F7F720F" w14:textId="77777777" w:rsidR="00BF19A5" w:rsidRDefault="00BF19A5" w:rsidP="00BF19A5">
      <w:r>
        <w:t xml:space="preserve">Tel.: + 48 22 49 21 301 </w:t>
      </w:r>
    </w:p>
    <w:p w14:paraId="77475A13" w14:textId="77777777" w:rsidR="00BF19A5" w:rsidRDefault="00BF19A5" w:rsidP="00BF19A5">
      <w:r>
        <w:t xml:space="preserve">Faks: + 48 22 49 21 309 </w:t>
      </w:r>
    </w:p>
    <w:p w14:paraId="39D20ABE" w14:textId="77777777" w:rsidR="00BF19A5" w:rsidRDefault="00BF19A5" w:rsidP="00BF19A5">
      <w:r>
        <w:t xml:space="preserve">Strona internetowa: </w:t>
      </w:r>
      <w:hyperlink r:id="rId26" w:history="1">
        <w:r w:rsidRPr="0021478A">
          <w:rPr>
            <w:rStyle w:val="Hyperlink"/>
          </w:rPr>
          <w:t>https://smz.ezdrowie.gov.pl</w:t>
        </w:r>
      </w:hyperlink>
    </w:p>
    <w:p w14:paraId="4D633B38" w14:textId="780589B3" w:rsidR="00E96702" w:rsidRDefault="0095540B">
      <w:r>
        <w:t>Dzięki zgłaszaniu działań niepożądanych można będzie zgromadzić więcej informacji na temat bezpieczeństwa stosowania leku.</w:t>
      </w:r>
    </w:p>
    <w:p w14:paraId="72E3C382" w14:textId="77777777" w:rsidR="00E96702" w:rsidRDefault="00E96702"/>
    <w:p w14:paraId="26D04F35" w14:textId="77777777" w:rsidR="00E96702" w:rsidRPr="00753772" w:rsidRDefault="0095540B" w:rsidP="00EC4F10">
      <w:pPr>
        <w:rPr>
          <w:b/>
          <w:bCs/>
          <w:color w:val="FFFFFF" w:themeColor="background1"/>
          <w:highlight w:val="black"/>
        </w:rPr>
      </w:pPr>
      <w:r w:rsidRPr="00753772">
        <w:rPr>
          <w:b/>
          <w:bCs/>
          <w:color w:val="FFFFFF" w:themeColor="background1"/>
          <w:highlight w:val="black"/>
        </w:rPr>
        <w:t>5.</w:t>
      </w:r>
      <w:r w:rsidRPr="00753772">
        <w:rPr>
          <w:b/>
          <w:bCs/>
          <w:color w:val="FFFFFF" w:themeColor="background1"/>
          <w:highlight w:val="black"/>
        </w:rPr>
        <w:tab/>
        <w:t>Jak przechowywać szczepionkę Vaxchora</w:t>
      </w:r>
    </w:p>
    <w:p w14:paraId="207B7D32" w14:textId="77777777" w:rsidR="00E96702" w:rsidRDefault="00E96702">
      <w:pPr>
        <w:keepNext/>
      </w:pPr>
    </w:p>
    <w:p w14:paraId="3C7EB1F1" w14:textId="77777777" w:rsidR="00E96702" w:rsidRDefault="0095540B">
      <w:r>
        <w:t>Szczepionkę należy przechowywać w miejscu niewidocznym i niedostępnym dla dzieci.</w:t>
      </w:r>
    </w:p>
    <w:p w14:paraId="637D4F07" w14:textId="77777777" w:rsidR="00E96702" w:rsidRDefault="00E96702"/>
    <w:p w14:paraId="594DAFA2" w14:textId="2035DB5A" w:rsidR="00E96702" w:rsidRDefault="0095540B">
      <w:r>
        <w:t xml:space="preserve">Nie stosować </w:t>
      </w:r>
      <w:r w:rsidR="00862149">
        <w:t xml:space="preserve">tej </w:t>
      </w:r>
      <w:r>
        <w:t>szczepionki po upływie terminu ważności zamieszczonego na pudełku. Termin ważności oznacza ostatni dzień podanego miesiąca.</w:t>
      </w:r>
    </w:p>
    <w:p w14:paraId="1457CFDE" w14:textId="77777777" w:rsidR="00E96702" w:rsidRDefault="00E96702"/>
    <w:p w14:paraId="07CE2E5A" w14:textId="2FA5C971" w:rsidR="00E96702" w:rsidRDefault="0095540B">
      <w:r>
        <w:t>Przechowywać w lodówce (2</w:t>
      </w:r>
      <w:r w:rsidR="000850EA">
        <w:t> </w:t>
      </w:r>
      <w:r>
        <w:t>°C — 8</w:t>
      </w:r>
      <w:r w:rsidR="000850EA">
        <w:t> </w:t>
      </w:r>
      <w:r>
        <w:t>°C).</w:t>
      </w:r>
    </w:p>
    <w:p w14:paraId="0BD4D6BD" w14:textId="62150E8D" w:rsidR="00E96702" w:rsidRDefault="0095540B">
      <w:r>
        <w:t>Przechowywać w oryginalnym opakowaniu</w:t>
      </w:r>
      <w:r w:rsidR="00862149">
        <w:t xml:space="preserve"> </w:t>
      </w:r>
      <w:r w:rsidR="00862149">
        <w:rPr>
          <w:noProof/>
        </w:rPr>
        <w:t>w</w:t>
      </w:r>
      <w:r w:rsidR="000850EA">
        <w:rPr>
          <w:noProof/>
        </w:rPr>
        <w:t> </w:t>
      </w:r>
      <w:r w:rsidR="00862149">
        <w:rPr>
          <w:noProof/>
        </w:rPr>
        <w:t>celu ochrony przed światłem i wilgocią</w:t>
      </w:r>
      <w:r>
        <w:t>.</w:t>
      </w:r>
    </w:p>
    <w:p w14:paraId="7F3ED24B" w14:textId="4D2CBCFF" w:rsidR="00E96702" w:rsidRDefault="0095540B">
      <w:r>
        <w:t>Przechowywana w oryginalnym opakowaniu szczepionka jest stabilna w temperaturze 25</w:t>
      </w:r>
      <w:r w:rsidR="000850EA">
        <w:t> </w:t>
      </w:r>
      <w:r>
        <w:t xml:space="preserve">°C przez maksymalnie 12 godzin. </w:t>
      </w:r>
      <w:r w:rsidR="00862149">
        <w:t xml:space="preserve">Pod koniec </w:t>
      </w:r>
      <w:r w:rsidR="00862149">
        <w:rPr>
          <w:noProof/>
        </w:rPr>
        <w:t>tego okresu szczepionkę</w:t>
      </w:r>
      <w:r w:rsidR="00862149" w:rsidRPr="00E25405">
        <w:rPr>
          <w:noProof/>
        </w:rPr>
        <w:t xml:space="preserve"> </w:t>
      </w:r>
      <w:r w:rsidR="00862149">
        <w:rPr>
          <w:noProof/>
        </w:rPr>
        <w:t>należy natychmiast zużyć lub wyrzucić</w:t>
      </w:r>
      <w:r w:rsidR="00862149" w:rsidRPr="00E25405">
        <w:rPr>
          <w:noProof/>
        </w:rPr>
        <w:t>.</w:t>
      </w:r>
      <w:r w:rsidR="00862149">
        <w:t xml:space="preserve"> </w:t>
      </w:r>
      <w:r>
        <w:t>Nie narażać szczepionki Vaxchora na działanie temperatury powyżej 25</w:t>
      </w:r>
      <w:r w:rsidR="000850EA">
        <w:t> </w:t>
      </w:r>
      <w:r>
        <w:t>°C.</w:t>
      </w:r>
    </w:p>
    <w:p w14:paraId="28168BF2" w14:textId="77777777" w:rsidR="00E96702" w:rsidRDefault="00E96702"/>
    <w:p w14:paraId="040390C5" w14:textId="77777777" w:rsidR="00E96702" w:rsidRDefault="0095540B">
      <w:r>
        <w:t>Nie stosować tej szczepionki, jeśli saszetki są uszkodzone. Należy skontaktować się z lekarzem, farmaceutą lub pielęgniarką, aby uzyskać dawkę zastępczą.</w:t>
      </w:r>
    </w:p>
    <w:p w14:paraId="17D57E7B" w14:textId="77777777" w:rsidR="00E96702" w:rsidRDefault="00E96702"/>
    <w:p w14:paraId="56608C7B" w14:textId="0886353E" w:rsidR="00CD2E9C" w:rsidRDefault="0095540B">
      <w:r>
        <w:t xml:space="preserve">Ten lek zawiera organizmy modyfikowane genetycznie. W przypadku postępowania z pozostałością leku oraz odpadami medycznymi należy przestrzegać lokalnych wytycznych w zakresie </w:t>
      </w:r>
      <w:r>
        <w:lastRenderedPageBreak/>
        <w:t>bezpieczeństwa biologicznego. Należy zapytać lekarza, farmaceutę lub pielęgniarkę, w jaki sposób pozbyć się leków, których się już nie używa, lub odpadów medycznych.</w:t>
      </w:r>
    </w:p>
    <w:p w14:paraId="11B1CD61" w14:textId="77777777" w:rsidR="00B6576A" w:rsidRDefault="00B6576A"/>
    <w:p w14:paraId="0815FEBB" w14:textId="77777777" w:rsidR="00E96702" w:rsidRPr="00753772" w:rsidRDefault="0095540B" w:rsidP="00EC4F10">
      <w:pPr>
        <w:rPr>
          <w:b/>
          <w:bCs/>
          <w:color w:val="FFFFFF" w:themeColor="background1"/>
        </w:rPr>
      </w:pPr>
      <w:r w:rsidRPr="00753772">
        <w:rPr>
          <w:b/>
          <w:bCs/>
          <w:color w:val="FFFFFF" w:themeColor="background1"/>
          <w:highlight w:val="black"/>
        </w:rPr>
        <w:t>6.</w:t>
      </w:r>
      <w:r w:rsidRPr="00753772">
        <w:rPr>
          <w:b/>
          <w:bCs/>
          <w:color w:val="FFFFFF" w:themeColor="background1"/>
          <w:highlight w:val="black"/>
        </w:rPr>
        <w:tab/>
        <w:t>Zawartość opakowania i inne informacje</w:t>
      </w:r>
    </w:p>
    <w:p w14:paraId="4ED9EE40" w14:textId="77777777" w:rsidR="00E96702" w:rsidRDefault="00E96702">
      <w:pPr>
        <w:keepNext/>
      </w:pPr>
    </w:p>
    <w:p w14:paraId="1995EE6F" w14:textId="77777777" w:rsidR="00E96702" w:rsidRDefault="0095540B">
      <w:pPr>
        <w:pStyle w:val="HeadingStrong"/>
      </w:pPr>
      <w:r>
        <w:t>Co zawiera szczepionka Vaxchora</w:t>
      </w:r>
    </w:p>
    <w:p w14:paraId="27E8E25B" w14:textId="0F064195" w:rsidR="00E96702" w:rsidRDefault="0095540B">
      <w:pPr>
        <w:pStyle w:val="Bullet-"/>
      </w:pPr>
      <w:r>
        <w:t>Każda dawka zawiera od 4 ×</w:t>
      </w:r>
      <w:r w:rsidR="000850EA">
        <w:t> </w:t>
      </w:r>
      <w:r>
        <w:t>10</w:t>
      </w:r>
      <w:r>
        <w:rPr>
          <w:rStyle w:val="Superscript"/>
        </w:rPr>
        <w:t>8</w:t>
      </w:r>
      <w:r>
        <w:t xml:space="preserve"> do 2 ×</w:t>
      </w:r>
      <w:r w:rsidR="000850EA">
        <w:t> </w:t>
      </w:r>
      <w:r>
        <w:t>10</w:t>
      </w:r>
      <w:r>
        <w:rPr>
          <w:rStyle w:val="Superscript"/>
        </w:rPr>
        <w:t>9</w:t>
      </w:r>
      <w:r>
        <w:t xml:space="preserve"> żywotnych komórek szczepu CVD 103-HgR</w:t>
      </w:r>
      <w:r w:rsidR="00862149" w:rsidRPr="00A13F2C">
        <w:rPr>
          <w:vertAlign w:val="superscript"/>
        </w:rPr>
        <w:t>1</w:t>
      </w:r>
      <w:r>
        <w:t xml:space="preserve"> </w:t>
      </w:r>
      <w:r>
        <w:rPr>
          <w:rStyle w:val="Emphasis"/>
        </w:rPr>
        <w:t>V</w:t>
      </w:r>
      <w:r w:rsidR="00862149">
        <w:rPr>
          <w:rStyle w:val="Emphasis"/>
        </w:rPr>
        <w:t>ibrio</w:t>
      </w:r>
      <w:r>
        <w:rPr>
          <w:rStyle w:val="Emphasis"/>
        </w:rPr>
        <w:t xml:space="preserve"> cholerae</w:t>
      </w:r>
      <w:r>
        <w:t>.</w:t>
      </w:r>
    </w:p>
    <w:p w14:paraId="2C408238" w14:textId="7A8BA6EE" w:rsidR="00E96702" w:rsidRDefault="0095540B">
      <w:pPr>
        <w:pStyle w:val="Bullet-"/>
      </w:pPr>
      <w:r>
        <w:t>Pozostałe składniki to: sacharoza, hydrolizowana kazeina, kwas askorbinowy, laktoza, wodorowęglan sodu i węglan sodu</w:t>
      </w:r>
      <w:r w:rsidR="00862149">
        <w:t xml:space="preserve"> (patrz punkt 2 „</w:t>
      </w:r>
      <w:r w:rsidR="00862149" w:rsidRPr="00862149">
        <w:t>Szczepionka Vaxchora zawiera laktozę, sacharozę i</w:t>
      </w:r>
      <w:r w:rsidR="000850EA">
        <w:t> </w:t>
      </w:r>
      <w:r w:rsidR="00862149" w:rsidRPr="00862149">
        <w:t>sód</w:t>
      </w:r>
      <w:r w:rsidR="00862149">
        <w:t>”)</w:t>
      </w:r>
      <w:r>
        <w:t>.</w:t>
      </w:r>
    </w:p>
    <w:p w14:paraId="41D06AEC" w14:textId="77777777" w:rsidR="00E96702" w:rsidRDefault="0095540B">
      <w:pPr>
        <w:pStyle w:val="Bullet-"/>
      </w:pPr>
      <w:r>
        <w:t>Szczepionka zawiera organizmy modyfikowane genetycznie (GMO).</w:t>
      </w:r>
    </w:p>
    <w:p w14:paraId="73A2ABA2" w14:textId="77777777" w:rsidR="00E96702" w:rsidRDefault="00E96702"/>
    <w:p w14:paraId="0FEAA7A6" w14:textId="0E3136A1" w:rsidR="00862149" w:rsidRDefault="00862149">
      <w:r w:rsidRPr="00A13F2C">
        <w:rPr>
          <w:vertAlign w:val="superscript"/>
        </w:rPr>
        <w:t>1</w:t>
      </w:r>
      <w:r>
        <w:t xml:space="preserve"> Wytworzono z zastosowaniem technologii rekombinacji DNA.</w:t>
      </w:r>
    </w:p>
    <w:p w14:paraId="50CE3762" w14:textId="77777777" w:rsidR="00862149" w:rsidRDefault="00862149"/>
    <w:p w14:paraId="429F6621" w14:textId="77777777" w:rsidR="00E96702" w:rsidRDefault="0095540B">
      <w:pPr>
        <w:pStyle w:val="HeadingStrong"/>
      </w:pPr>
      <w:r>
        <w:t>Jak wygląda szczepionka Vaxchora i co zawiera opakowanie</w:t>
      </w:r>
    </w:p>
    <w:p w14:paraId="781DD8A0" w14:textId="14828C53" w:rsidR="00E96702" w:rsidRDefault="00862149">
      <w:r>
        <w:t xml:space="preserve">Jedna dawka szczepionki </w:t>
      </w:r>
      <w:r w:rsidRPr="00862149">
        <w:t>Vaxchora, proszek musujący i</w:t>
      </w:r>
      <w:r w:rsidR="000850EA">
        <w:t> </w:t>
      </w:r>
      <w:r w:rsidRPr="00862149">
        <w:t>proszek do sporządzania zawiesiny doustnej</w:t>
      </w:r>
      <w:r>
        <w:t xml:space="preserve"> jest dostarczana w</w:t>
      </w:r>
      <w:r w:rsidR="000850EA">
        <w:t> </w:t>
      </w:r>
      <w:r>
        <w:t>p</w:t>
      </w:r>
      <w:r w:rsidR="0095540B">
        <w:t>udełk</w:t>
      </w:r>
      <w:r>
        <w:t>u</w:t>
      </w:r>
      <w:r w:rsidR="0095540B">
        <w:t xml:space="preserve"> zawiera</w:t>
      </w:r>
      <w:r>
        <w:t>jącym</w:t>
      </w:r>
      <w:r w:rsidR="0095540B">
        <w:t xml:space="preserve"> dwie saszetki. Jedna saszetka zawiera wodorowęglan sodu w postaci białego lub białawego musującego proszku. Druga saszetka zawiera substancję czynną szczepionki w postaci białego lub beżowego proszku</w:t>
      </w:r>
      <w:r>
        <w:t xml:space="preserve"> </w:t>
      </w:r>
      <w:r w:rsidRPr="00862149">
        <w:t>do sporządzania zawiesiny doustnej</w:t>
      </w:r>
      <w:r w:rsidR="0095540B">
        <w:t>.</w:t>
      </w:r>
    </w:p>
    <w:p w14:paraId="2C0C6DC2" w14:textId="77777777" w:rsidR="00E96702" w:rsidRDefault="00E96702"/>
    <w:p w14:paraId="73DB7A39" w14:textId="77777777" w:rsidR="00E96702" w:rsidRDefault="0095540B">
      <w:pPr>
        <w:pStyle w:val="HeadingStrong"/>
      </w:pPr>
      <w:r>
        <w:t>Podmiot odpowiedzialny</w:t>
      </w:r>
    </w:p>
    <w:p w14:paraId="45ECD93D" w14:textId="77777777" w:rsidR="00E96702" w:rsidRDefault="00E96702">
      <w:pPr>
        <w:keepNext/>
      </w:pPr>
    </w:p>
    <w:p w14:paraId="251AF055" w14:textId="7E32245E" w:rsidR="00D95528" w:rsidRPr="001940C3" w:rsidRDefault="00063C4C">
      <w:r w:rsidRPr="001940C3">
        <w:rPr>
          <w:noProof/>
        </w:rPr>
        <w:t>Bavarian Nordic A/S, Philip Heymans Alle 3, DK-2900 Hellerup, D</w:t>
      </w:r>
      <w:r w:rsidR="00AD0862" w:rsidRPr="002051A8">
        <w:rPr>
          <w:noProof/>
        </w:rPr>
        <w:t>ania</w:t>
      </w:r>
    </w:p>
    <w:p w14:paraId="5F487FEA" w14:textId="77777777" w:rsidR="00E96702" w:rsidRPr="001940C3" w:rsidRDefault="00E96702"/>
    <w:p w14:paraId="7B600DFE" w14:textId="6F4E191A" w:rsidR="00E96702" w:rsidRPr="00A13F2C" w:rsidRDefault="0024227D">
      <w:pPr>
        <w:pStyle w:val="HeadingStrong"/>
      </w:pPr>
      <w:r w:rsidRPr="00A13F2C">
        <w:t>Wytwórca</w:t>
      </w:r>
    </w:p>
    <w:p w14:paraId="2F05CF3F" w14:textId="77777777" w:rsidR="00E96702" w:rsidRPr="00A13F2C" w:rsidRDefault="00E96702">
      <w:pPr>
        <w:keepNext/>
      </w:pPr>
    </w:p>
    <w:p w14:paraId="0CEC750A" w14:textId="77777777" w:rsidR="00E96702" w:rsidRPr="00A13F2C" w:rsidRDefault="0095540B">
      <w:r w:rsidRPr="00A13F2C">
        <w:t>IL-CSM GmbH</w:t>
      </w:r>
    </w:p>
    <w:p w14:paraId="6652A93E" w14:textId="77777777" w:rsidR="00E96702" w:rsidRPr="00A13F2C" w:rsidRDefault="0095540B">
      <w:r w:rsidRPr="00A13F2C">
        <w:t>Marie-Curie-Strasse 8</w:t>
      </w:r>
    </w:p>
    <w:p w14:paraId="0C339A99" w14:textId="77777777" w:rsidR="00E96702" w:rsidRPr="00206F1A" w:rsidRDefault="0095540B">
      <w:r w:rsidRPr="00206F1A">
        <w:t>D</w:t>
      </w:r>
      <w:r w:rsidRPr="00206F1A">
        <w:noBreakHyphen/>
        <w:t>79539 Lörrach</w:t>
      </w:r>
    </w:p>
    <w:p w14:paraId="32BEA8B7" w14:textId="77777777" w:rsidR="00E96702" w:rsidRPr="00206F1A" w:rsidRDefault="0095540B">
      <w:r w:rsidRPr="00206F1A">
        <w:t>Niemcy</w:t>
      </w:r>
    </w:p>
    <w:p w14:paraId="575B32BF" w14:textId="77777777" w:rsidR="00E96702" w:rsidRDefault="00E96702"/>
    <w:p w14:paraId="60B6A10D" w14:textId="58584258" w:rsidR="00E96702" w:rsidRDefault="0095540B">
      <w:pPr>
        <w:pStyle w:val="HeadingStrong"/>
      </w:pPr>
      <w:r>
        <w:t>Data ostatniej aktualizacji ulotki:</w:t>
      </w:r>
      <w:r w:rsidR="00BF19A5">
        <w:t xml:space="preserve"> 0</w:t>
      </w:r>
      <w:r w:rsidR="00753772">
        <w:t>6</w:t>
      </w:r>
      <w:r w:rsidR="00BF19A5">
        <w:t>/2025</w:t>
      </w:r>
    </w:p>
    <w:p w14:paraId="594D5D7E" w14:textId="77777777" w:rsidR="00E96702" w:rsidRDefault="00E96702"/>
    <w:p w14:paraId="08088896" w14:textId="77777777" w:rsidR="00E96702" w:rsidRDefault="0095540B">
      <w:pPr>
        <w:pStyle w:val="HeadingStrong"/>
      </w:pPr>
      <w:r>
        <w:t>Inne źródła informacji</w:t>
      </w:r>
    </w:p>
    <w:p w14:paraId="4A6CA5DA" w14:textId="77777777" w:rsidR="00E96702" w:rsidRDefault="00E96702"/>
    <w:p w14:paraId="45238159" w14:textId="67A6A561" w:rsidR="00E96702" w:rsidRDefault="0095540B">
      <w:r>
        <w:t xml:space="preserve">Szczegółowe informacje o tym leku </w:t>
      </w:r>
      <w:r w:rsidR="00B95FAE">
        <w:t xml:space="preserve">są dostępne </w:t>
      </w:r>
      <w:r>
        <w:t xml:space="preserve">na stronie internetowej Europejskiej Agencji Leków </w:t>
      </w:r>
      <w:hyperlink r:id="rId27" w:history="1">
        <w:r w:rsidR="0002362C" w:rsidRPr="0002362C">
          <w:rPr>
            <w:rStyle w:val="Hyperlink"/>
            <w:noProof/>
            <w:szCs w:val="20"/>
            <w:lang w:eastAsia="pl-PL" w:bidi="pl-PL"/>
          </w:rPr>
          <w:t>https://www.ema.europa.eu</w:t>
        </w:r>
      </w:hyperlink>
      <w:r>
        <w:t>.</w:t>
      </w:r>
    </w:p>
    <w:p w14:paraId="7E261569" w14:textId="77777777" w:rsidR="00E96702" w:rsidRDefault="00E96702"/>
    <w:p w14:paraId="1610546F" w14:textId="0999B23A" w:rsidR="00E96702" w:rsidRDefault="00E96702"/>
    <w:sectPr w:rsidR="00E96702" w:rsidSect="00063C4C">
      <w:footerReference w:type="default" r:id="rId28"/>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14AE" w14:textId="77777777" w:rsidR="00AC36BF" w:rsidRDefault="00AC36BF">
      <w:r>
        <w:separator/>
      </w:r>
    </w:p>
  </w:endnote>
  <w:endnote w:type="continuationSeparator" w:id="0">
    <w:p w14:paraId="66A8C442" w14:textId="77777777" w:rsidR="00AC36BF" w:rsidRDefault="00AC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F7A7" w14:textId="6FDA8B57" w:rsidR="002F7212" w:rsidRDefault="002F7212">
    <w:pPr>
      <w:pStyle w:val="Footer"/>
    </w:pPr>
    <w:r>
      <w:fldChar w:fldCharType="begin"/>
    </w:r>
    <w:r>
      <w:instrText xml:space="preserve"> PAGE  \* Arabic  \* MERGEFORMAT </w:instrText>
    </w:r>
    <w:r>
      <w:fldChar w:fldCharType="separate"/>
    </w:r>
    <w:r w:rsidR="00B5427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E3DA" w14:textId="77777777" w:rsidR="00AC36BF" w:rsidRDefault="00AC36BF">
      <w:r>
        <w:separator/>
      </w:r>
    </w:p>
  </w:footnote>
  <w:footnote w:type="continuationSeparator" w:id="0">
    <w:p w14:paraId="1BE89926" w14:textId="77777777" w:rsidR="00AC36BF" w:rsidRDefault="00AC3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1681EA"/>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BD626E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666EE9E"/>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D105C2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F3D866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C6D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723B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444B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C0AF3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CAA41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787D2B"/>
    <w:multiLevelType w:val="hybridMultilevel"/>
    <w:tmpl w:val="39141C4C"/>
    <w:lvl w:ilvl="0" w:tplc="F1D8AA6C">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A3920"/>
    <w:multiLevelType w:val="hybridMultilevel"/>
    <w:tmpl w:val="54386C9E"/>
    <w:lvl w:ilvl="0" w:tplc="5DAADB12">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C0327"/>
    <w:multiLevelType w:val="hybridMultilevel"/>
    <w:tmpl w:val="1EAC0D92"/>
    <w:lvl w:ilvl="0" w:tplc="9CFA9D1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96FE5"/>
    <w:multiLevelType w:val="hybridMultilevel"/>
    <w:tmpl w:val="DFB26412"/>
    <w:lvl w:ilvl="0" w:tplc="08090003">
      <w:start w:val="1"/>
      <w:numFmt w:val="bullet"/>
      <w:lvlText w:val="o"/>
      <w:lvlJc w:val="left"/>
      <w:pPr>
        <w:ind w:left="1134" w:hanging="567"/>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448E4"/>
    <w:multiLevelType w:val="hybridMultilevel"/>
    <w:tmpl w:val="9F9EF3C4"/>
    <w:lvl w:ilvl="0" w:tplc="B1660F98">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D21D5"/>
    <w:multiLevelType w:val="hybridMultilevel"/>
    <w:tmpl w:val="6E62413C"/>
    <w:lvl w:ilvl="0" w:tplc="F342D858">
      <w:start w:val="1"/>
      <w:numFmt w:val="bullet"/>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566C4"/>
    <w:multiLevelType w:val="hybridMultilevel"/>
    <w:tmpl w:val="9E04ABE4"/>
    <w:lvl w:ilvl="0" w:tplc="D23AACB6">
      <w:start w:val="1"/>
      <w:numFmt w:val="bullet"/>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394DDA"/>
    <w:multiLevelType w:val="hybridMultilevel"/>
    <w:tmpl w:val="CDA492B8"/>
    <w:lvl w:ilvl="0" w:tplc="08090003">
      <w:start w:val="1"/>
      <w:numFmt w:val="bullet"/>
      <w:lvlText w:val="o"/>
      <w:lvlJc w:val="left"/>
      <w:pPr>
        <w:ind w:left="1134" w:hanging="567"/>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C29AC"/>
    <w:multiLevelType w:val="hybridMultilevel"/>
    <w:tmpl w:val="C994D188"/>
    <w:lvl w:ilvl="0" w:tplc="08090003">
      <w:start w:val="1"/>
      <w:numFmt w:val="bullet"/>
      <w:lvlText w:val="o"/>
      <w:lvlJc w:val="left"/>
      <w:pPr>
        <w:ind w:left="1134" w:hanging="567"/>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137766">
    <w:abstractNumId w:val="12"/>
  </w:num>
  <w:num w:numId="2" w16cid:durableId="159083869">
    <w:abstractNumId w:val="14"/>
  </w:num>
  <w:num w:numId="3" w16cid:durableId="695421615">
    <w:abstractNumId w:val="17"/>
  </w:num>
  <w:num w:numId="4" w16cid:durableId="1712991532">
    <w:abstractNumId w:val="9"/>
  </w:num>
  <w:num w:numId="5" w16cid:durableId="881600610">
    <w:abstractNumId w:val="7"/>
  </w:num>
  <w:num w:numId="6" w16cid:durableId="556088528">
    <w:abstractNumId w:val="6"/>
  </w:num>
  <w:num w:numId="7" w16cid:durableId="102657300">
    <w:abstractNumId w:val="5"/>
  </w:num>
  <w:num w:numId="8" w16cid:durableId="1172796978">
    <w:abstractNumId w:val="4"/>
  </w:num>
  <w:num w:numId="9" w16cid:durableId="841159905">
    <w:abstractNumId w:val="8"/>
  </w:num>
  <w:num w:numId="10" w16cid:durableId="979961623">
    <w:abstractNumId w:val="3"/>
  </w:num>
  <w:num w:numId="11" w16cid:durableId="2022118956">
    <w:abstractNumId w:val="2"/>
  </w:num>
  <w:num w:numId="12" w16cid:durableId="1795127878">
    <w:abstractNumId w:val="1"/>
  </w:num>
  <w:num w:numId="13" w16cid:durableId="248738509">
    <w:abstractNumId w:val="0"/>
  </w:num>
  <w:num w:numId="14" w16cid:durableId="1204906120">
    <w:abstractNumId w:val="17"/>
    <w:lvlOverride w:ilvl="0">
      <w:startOverride w:val="1"/>
    </w:lvlOverride>
  </w:num>
  <w:num w:numId="15" w16cid:durableId="1638025691">
    <w:abstractNumId w:val="14"/>
    <w:lvlOverride w:ilvl="0">
      <w:startOverride w:val="1"/>
    </w:lvlOverride>
  </w:num>
  <w:num w:numId="16" w16cid:durableId="1366907332">
    <w:abstractNumId w:val="16"/>
  </w:num>
  <w:num w:numId="17" w16cid:durableId="1247298899">
    <w:abstractNumId w:val="15"/>
  </w:num>
  <w:num w:numId="18" w16cid:durableId="2076312726">
    <w:abstractNumId w:val="11"/>
  </w:num>
  <w:num w:numId="19" w16cid:durableId="459345953">
    <w:abstractNumId w:val="11"/>
    <w:lvlOverride w:ilvl="0">
      <w:startOverride w:val="1"/>
    </w:lvlOverride>
  </w:num>
  <w:num w:numId="20" w16cid:durableId="708532018">
    <w:abstractNumId w:val="10"/>
  </w:num>
  <w:num w:numId="21" w16cid:durableId="62416023">
    <w:abstractNumId w:val="13"/>
  </w:num>
  <w:num w:numId="22" w16cid:durableId="419444794">
    <w:abstractNumId w:val="19"/>
  </w:num>
  <w:num w:numId="23" w16cid:durableId="6855975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56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sDC1NDW2NDM0NDNX0lEKTi0uzszPAykwqgUA7rIFtSwAAAA="/>
  </w:docVars>
  <w:rsids>
    <w:rsidRoot w:val="00E96702"/>
    <w:rsid w:val="00002460"/>
    <w:rsid w:val="00010895"/>
    <w:rsid w:val="0002362C"/>
    <w:rsid w:val="00036EFF"/>
    <w:rsid w:val="00037B79"/>
    <w:rsid w:val="00051B34"/>
    <w:rsid w:val="00052B84"/>
    <w:rsid w:val="00063C4C"/>
    <w:rsid w:val="00064BD7"/>
    <w:rsid w:val="0006786B"/>
    <w:rsid w:val="00070C16"/>
    <w:rsid w:val="00075E39"/>
    <w:rsid w:val="000848F0"/>
    <w:rsid w:val="000850EA"/>
    <w:rsid w:val="00091F56"/>
    <w:rsid w:val="000A1BE9"/>
    <w:rsid w:val="000A3762"/>
    <w:rsid w:val="000A6066"/>
    <w:rsid w:val="000A633C"/>
    <w:rsid w:val="000C57EA"/>
    <w:rsid w:val="000D558A"/>
    <w:rsid w:val="000E48F5"/>
    <w:rsid w:val="000E7434"/>
    <w:rsid w:val="000F1651"/>
    <w:rsid w:val="000F5C23"/>
    <w:rsid w:val="00115871"/>
    <w:rsid w:val="0011702B"/>
    <w:rsid w:val="00146F71"/>
    <w:rsid w:val="00154C79"/>
    <w:rsid w:val="0015775C"/>
    <w:rsid w:val="00160983"/>
    <w:rsid w:val="001625FB"/>
    <w:rsid w:val="00170B0B"/>
    <w:rsid w:val="001765A7"/>
    <w:rsid w:val="001940C3"/>
    <w:rsid w:val="001942FC"/>
    <w:rsid w:val="001C4AB5"/>
    <w:rsid w:val="001D48F2"/>
    <w:rsid w:val="001D6FD8"/>
    <w:rsid w:val="001E4CA4"/>
    <w:rsid w:val="00202A93"/>
    <w:rsid w:val="002051A8"/>
    <w:rsid w:val="00206F1A"/>
    <w:rsid w:val="002107E5"/>
    <w:rsid w:val="00220F3E"/>
    <w:rsid w:val="002229D1"/>
    <w:rsid w:val="00226346"/>
    <w:rsid w:val="002370D2"/>
    <w:rsid w:val="00241C53"/>
    <w:rsid w:val="0024227D"/>
    <w:rsid w:val="00245959"/>
    <w:rsid w:val="002779A7"/>
    <w:rsid w:val="00282A22"/>
    <w:rsid w:val="00283B79"/>
    <w:rsid w:val="00293708"/>
    <w:rsid w:val="002A09C1"/>
    <w:rsid w:val="002C443F"/>
    <w:rsid w:val="002D4764"/>
    <w:rsid w:val="002D7DED"/>
    <w:rsid w:val="002F6280"/>
    <w:rsid w:val="002F7212"/>
    <w:rsid w:val="0030386F"/>
    <w:rsid w:val="0030405B"/>
    <w:rsid w:val="00305193"/>
    <w:rsid w:val="003059E6"/>
    <w:rsid w:val="00307A28"/>
    <w:rsid w:val="00311533"/>
    <w:rsid w:val="00315D78"/>
    <w:rsid w:val="00321C68"/>
    <w:rsid w:val="003222D7"/>
    <w:rsid w:val="00325330"/>
    <w:rsid w:val="00325AAF"/>
    <w:rsid w:val="00340857"/>
    <w:rsid w:val="00340E35"/>
    <w:rsid w:val="00342466"/>
    <w:rsid w:val="003442EE"/>
    <w:rsid w:val="00347597"/>
    <w:rsid w:val="00352051"/>
    <w:rsid w:val="00352EDA"/>
    <w:rsid w:val="0035437F"/>
    <w:rsid w:val="00354CB5"/>
    <w:rsid w:val="00357872"/>
    <w:rsid w:val="00361A5D"/>
    <w:rsid w:val="003648DF"/>
    <w:rsid w:val="003761D5"/>
    <w:rsid w:val="00381852"/>
    <w:rsid w:val="003A5089"/>
    <w:rsid w:val="003A5770"/>
    <w:rsid w:val="003B0087"/>
    <w:rsid w:val="003C3EB6"/>
    <w:rsid w:val="003C4FA4"/>
    <w:rsid w:val="003F68A9"/>
    <w:rsid w:val="0040603F"/>
    <w:rsid w:val="00407E01"/>
    <w:rsid w:val="00410FBC"/>
    <w:rsid w:val="004117B8"/>
    <w:rsid w:val="0042001C"/>
    <w:rsid w:val="00425C89"/>
    <w:rsid w:val="00430718"/>
    <w:rsid w:val="00431B8C"/>
    <w:rsid w:val="00445D71"/>
    <w:rsid w:val="00446A88"/>
    <w:rsid w:val="0045773A"/>
    <w:rsid w:val="00472B8A"/>
    <w:rsid w:val="00476BD9"/>
    <w:rsid w:val="004842D0"/>
    <w:rsid w:val="004930F2"/>
    <w:rsid w:val="004B0047"/>
    <w:rsid w:val="004B5B78"/>
    <w:rsid w:val="004B5DC3"/>
    <w:rsid w:val="004B60E4"/>
    <w:rsid w:val="004D63E9"/>
    <w:rsid w:val="004F3A7B"/>
    <w:rsid w:val="004F6373"/>
    <w:rsid w:val="00504A43"/>
    <w:rsid w:val="00504ECA"/>
    <w:rsid w:val="00507E67"/>
    <w:rsid w:val="00511AD9"/>
    <w:rsid w:val="00517859"/>
    <w:rsid w:val="005214BE"/>
    <w:rsid w:val="00521721"/>
    <w:rsid w:val="0052791E"/>
    <w:rsid w:val="00550F43"/>
    <w:rsid w:val="005536EF"/>
    <w:rsid w:val="005550F0"/>
    <w:rsid w:val="00557344"/>
    <w:rsid w:val="00562510"/>
    <w:rsid w:val="00565ADC"/>
    <w:rsid w:val="00566B7C"/>
    <w:rsid w:val="005727E5"/>
    <w:rsid w:val="005748A4"/>
    <w:rsid w:val="0057671E"/>
    <w:rsid w:val="00582451"/>
    <w:rsid w:val="005904ED"/>
    <w:rsid w:val="00593BC7"/>
    <w:rsid w:val="005A2CF2"/>
    <w:rsid w:val="005A2E34"/>
    <w:rsid w:val="005B3F15"/>
    <w:rsid w:val="005C03B7"/>
    <w:rsid w:val="005D3285"/>
    <w:rsid w:val="005D7848"/>
    <w:rsid w:val="005F15E4"/>
    <w:rsid w:val="005F1FDF"/>
    <w:rsid w:val="006016EF"/>
    <w:rsid w:val="006248F7"/>
    <w:rsid w:val="006265E3"/>
    <w:rsid w:val="006419CD"/>
    <w:rsid w:val="00646308"/>
    <w:rsid w:val="00647338"/>
    <w:rsid w:val="00654CF6"/>
    <w:rsid w:val="00661EAE"/>
    <w:rsid w:val="00670E47"/>
    <w:rsid w:val="00680507"/>
    <w:rsid w:val="00683B1A"/>
    <w:rsid w:val="00684BBA"/>
    <w:rsid w:val="006915D4"/>
    <w:rsid w:val="006932CC"/>
    <w:rsid w:val="006A412A"/>
    <w:rsid w:val="006A4253"/>
    <w:rsid w:val="006A55D2"/>
    <w:rsid w:val="006C1BBB"/>
    <w:rsid w:val="006C7060"/>
    <w:rsid w:val="006D5B86"/>
    <w:rsid w:val="006D77A7"/>
    <w:rsid w:val="006E0C7F"/>
    <w:rsid w:val="006E22F1"/>
    <w:rsid w:val="006E4B26"/>
    <w:rsid w:val="0070093F"/>
    <w:rsid w:val="00705F9F"/>
    <w:rsid w:val="00714FD9"/>
    <w:rsid w:val="007325CD"/>
    <w:rsid w:val="00736CF7"/>
    <w:rsid w:val="00737AE3"/>
    <w:rsid w:val="007451CC"/>
    <w:rsid w:val="00746EAD"/>
    <w:rsid w:val="00750351"/>
    <w:rsid w:val="0075188A"/>
    <w:rsid w:val="00753772"/>
    <w:rsid w:val="0076657E"/>
    <w:rsid w:val="007729BF"/>
    <w:rsid w:val="00772E6B"/>
    <w:rsid w:val="007946B9"/>
    <w:rsid w:val="007977CC"/>
    <w:rsid w:val="007A16FA"/>
    <w:rsid w:val="007A2FA4"/>
    <w:rsid w:val="007B6675"/>
    <w:rsid w:val="007C033F"/>
    <w:rsid w:val="007C17C5"/>
    <w:rsid w:val="007C1981"/>
    <w:rsid w:val="007C6689"/>
    <w:rsid w:val="007D1C19"/>
    <w:rsid w:val="007D25FF"/>
    <w:rsid w:val="007E2617"/>
    <w:rsid w:val="007E3499"/>
    <w:rsid w:val="007E5B44"/>
    <w:rsid w:val="00804C6F"/>
    <w:rsid w:val="0083026B"/>
    <w:rsid w:val="00832C94"/>
    <w:rsid w:val="00832FE5"/>
    <w:rsid w:val="008333DF"/>
    <w:rsid w:val="00843769"/>
    <w:rsid w:val="008463CC"/>
    <w:rsid w:val="00846ACF"/>
    <w:rsid w:val="00847FC0"/>
    <w:rsid w:val="00852ADC"/>
    <w:rsid w:val="00862149"/>
    <w:rsid w:val="008651FD"/>
    <w:rsid w:val="00866CE0"/>
    <w:rsid w:val="00876D8E"/>
    <w:rsid w:val="008865AF"/>
    <w:rsid w:val="0088689D"/>
    <w:rsid w:val="008907E4"/>
    <w:rsid w:val="00891E00"/>
    <w:rsid w:val="00895D6B"/>
    <w:rsid w:val="00896AEC"/>
    <w:rsid w:val="0089777F"/>
    <w:rsid w:val="008A0C58"/>
    <w:rsid w:val="008A33D2"/>
    <w:rsid w:val="008A6C0C"/>
    <w:rsid w:val="008A6F63"/>
    <w:rsid w:val="008B0396"/>
    <w:rsid w:val="008B0804"/>
    <w:rsid w:val="008B2706"/>
    <w:rsid w:val="008B747B"/>
    <w:rsid w:val="008C09BD"/>
    <w:rsid w:val="008C2806"/>
    <w:rsid w:val="008C7CC5"/>
    <w:rsid w:val="008D1895"/>
    <w:rsid w:val="008E00E2"/>
    <w:rsid w:val="008E41C2"/>
    <w:rsid w:val="00900E07"/>
    <w:rsid w:val="00903E22"/>
    <w:rsid w:val="00904443"/>
    <w:rsid w:val="00905364"/>
    <w:rsid w:val="009107C3"/>
    <w:rsid w:val="00916E6B"/>
    <w:rsid w:val="009248C2"/>
    <w:rsid w:val="00927E28"/>
    <w:rsid w:val="00932912"/>
    <w:rsid w:val="0095540B"/>
    <w:rsid w:val="00955E96"/>
    <w:rsid w:val="00956145"/>
    <w:rsid w:val="00963FE1"/>
    <w:rsid w:val="00975EB4"/>
    <w:rsid w:val="00991DB6"/>
    <w:rsid w:val="00992D0F"/>
    <w:rsid w:val="00996594"/>
    <w:rsid w:val="009A3B7F"/>
    <w:rsid w:val="009A441C"/>
    <w:rsid w:val="009A6DDE"/>
    <w:rsid w:val="009B6B80"/>
    <w:rsid w:val="009C64A7"/>
    <w:rsid w:val="009D2237"/>
    <w:rsid w:val="009D5034"/>
    <w:rsid w:val="009F7E0A"/>
    <w:rsid w:val="00A108F1"/>
    <w:rsid w:val="00A13F2C"/>
    <w:rsid w:val="00A3153D"/>
    <w:rsid w:val="00A37145"/>
    <w:rsid w:val="00A43BA4"/>
    <w:rsid w:val="00A44F20"/>
    <w:rsid w:val="00A45631"/>
    <w:rsid w:val="00A4602C"/>
    <w:rsid w:val="00A50C9E"/>
    <w:rsid w:val="00A52A51"/>
    <w:rsid w:val="00A55572"/>
    <w:rsid w:val="00A57D2E"/>
    <w:rsid w:val="00A64EC5"/>
    <w:rsid w:val="00A669CA"/>
    <w:rsid w:val="00A7278D"/>
    <w:rsid w:val="00A7300C"/>
    <w:rsid w:val="00A81860"/>
    <w:rsid w:val="00A90E70"/>
    <w:rsid w:val="00A95CD4"/>
    <w:rsid w:val="00AA36EA"/>
    <w:rsid w:val="00AA6349"/>
    <w:rsid w:val="00AB3353"/>
    <w:rsid w:val="00AB5665"/>
    <w:rsid w:val="00AB7C37"/>
    <w:rsid w:val="00AC1DD0"/>
    <w:rsid w:val="00AC36BF"/>
    <w:rsid w:val="00AC5D48"/>
    <w:rsid w:val="00AD0862"/>
    <w:rsid w:val="00AD67DB"/>
    <w:rsid w:val="00AE6B66"/>
    <w:rsid w:val="00AF18C3"/>
    <w:rsid w:val="00AF69E4"/>
    <w:rsid w:val="00B23FA7"/>
    <w:rsid w:val="00B445DE"/>
    <w:rsid w:val="00B45FAE"/>
    <w:rsid w:val="00B54276"/>
    <w:rsid w:val="00B574EA"/>
    <w:rsid w:val="00B637B4"/>
    <w:rsid w:val="00B6576A"/>
    <w:rsid w:val="00B75C0F"/>
    <w:rsid w:val="00B85A56"/>
    <w:rsid w:val="00B95E8A"/>
    <w:rsid w:val="00B95FAE"/>
    <w:rsid w:val="00B97B2E"/>
    <w:rsid w:val="00BC48BC"/>
    <w:rsid w:val="00BC4937"/>
    <w:rsid w:val="00BD50D7"/>
    <w:rsid w:val="00BE3FE2"/>
    <w:rsid w:val="00BF19A5"/>
    <w:rsid w:val="00BF397A"/>
    <w:rsid w:val="00BF41F0"/>
    <w:rsid w:val="00C00A68"/>
    <w:rsid w:val="00C01EAE"/>
    <w:rsid w:val="00C137C6"/>
    <w:rsid w:val="00C140EB"/>
    <w:rsid w:val="00C166FD"/>
    <w:rsid w:val="00C1714D"/>
    <w:rsid w:val="00C22906"/>
    <w:rsid w:val="00C24B7A"/>
    <w:rsid w:val="00C32CAB"/>
    <w:rsid w:val="00C34B2E"/>
    <w:rsid w:val="00C3585C"/>
    <w:rsid w:val="00C43C3F"/>
    <w:rsid w:val="00C441D9"/>
    <w:rsid w:val="00C46154"/>
    <w:rsid w:val="00C50FFB"/>
    <w:rsid w:val="00C536E0"/>
    <w:rsid w:val="00C647F2"/>
    <w:rsid w:val="00C7145D"/>
    <w:rsid w:val="00C91AD0"/>
    <w:rsid w:val="00CA3196"/>
    <w:rsid w:val="00CD2E9C"/>
    <w:rsid w:val="00CD38A0"/>
    <w:rsid w:val="00CE4216"/>
    <w:rsid w:val="00D10C75"/>
    <w:rsid w:val="00D315AC"/>
    <w:rsid w:val="00D420A9"/>
    <w:rsid w:val="00D43B87"/>
    <w:rsid w:val="00D47272"/>
    <w:rsid w:val="00D51BF3"/>
    <w:rsid w:val="00D53449"/>
    <w:rsid w:val="00D568C7"/>
    <w:rsid w:val="00D63814"/>
    <w:rsid w:val="00D6628E"/>
    <w:rsid w:val="00D66EF1"/>
    <w:rsid w:val="00D72B83"/>
    <w:rsid w:val="00D74EB6"/>
    <w:rsid w:val="00D768E9"/>
    <w:rsid w:val="00D843C1"/>
    <w:rsid w:val="00D86026"/>
    <w:rsid w:val="00D91544"/>
    <w:rsid w:val="00D92EE2"/>
    <w:rsid w:val="00D94F5F"/>
    <w:rsid w:val="00D95528"/>
    <w:rsid w:val="00D95FDE"/>
    <w:rsid w:val="00DA54D5"/>
    <w:rsid w:val="00DA6878"/>
    <w:rsid w:val="00DD51EB"/>
    <w:rsid w:val="00DF518C"/>
    <w:rsid w:val="00E00DB1"/>
    <w:rsid w:val="00E04229"/>
    <w:rsid w:val="00E06955"/>
    <w:rsid w:val="00E1233D"/>
    <w:rsid w:val="00E1549D"/>
    <w:rsid w:val="00E165D6"/>
    <w:rsid w:val="00E41CBC"/>
    <w:rsid w:val="00E4231D"/>
    <w:rsid w:val="00E52C53"/>
    <w:rsid w:val="00E60D05"/>
    <w:rsid w:val="00E6325F"/>
    <w:rsid w:val="00E64131"/>
    <w:rsid w:val="00E85EFE"/>
    <w:rsid w:val="00E96702"/>
    <w:rsid w:val="00EA2DBB"/>
    <w:rsid w:val="00EA4E28"/>
    <w:rsid w:val="00EA785C"/>
    <w:rsid w:val="00EB257E"/>
    <w:rsid w:val="00EC369A"/>
    <w:rsid w:val="00EC4F10"/>
    <w:rsid w:val="00ED22F6"/>
    <w:rsid w:val="00ED5A0D"/>
    <w:rsid w:val="00ED5C6C"/>
    <w:rsid w:val="00EE377C"/>
    <w:rsid w:val="00EF1597"/>
    <w:rsid w:val="00EF1CFF"/>
    <w:rsid w:val="00EF6965"/>
    <w:rsid w:val="00F002B8"/>
    <w:rsid w:val="00F07E50"/>
    <w:rsid w:val="00F1612E"/>
    <w:rsid w:val="00F32985"/>
    <w:rsid w:val="00F36B10"/>
    <w:rsid w:val="00F43313"/>
    <w:rsid w:val="00F513F9"/>
    <w:rsid w:val="00F53E75"/>
    <w:rsid w:val="00F61788"/>
    <w:rsid w:val="00F62C04"/>
    <w:rsid w:val="00F63831"/>
    <w:rsid w:val="00F70753"/>
    <w:rsid w:val="00F71D89"/>
    <w:rsid w:val="00F85365"/>
    <w:rsid w:val="00F85AFE"/>
    <w:rsid w:val="00F87333"/>
    <w:rsid w:val="00F93C05"/>
    <w:rsid w:val="00F95950"/>
    <w:rsid w:val="00F971FC"/>
    <w:rsid w:val="00FA012C"/>
    <w:rsid w:val="00FB10CE"/>
    <w:rsid w:val="00FB3A12"/>
    <w:rsid w:val="00FD0744"/>
    <w:rsid w:val="00FD21B6"/>
    <w:rsid w:val="00FD31C2"/>
    <w:rsid w:val="00FD344D"/>
    <w:rsid w:val="00FE106A"/>
    <w:rsid w:val="00FE2231"/>
    <w:rsid w:val="00FE2F42"/>
    <w:rsid w:val="00FE5440"/>
    <w:rsid w:val="00FF3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0E2EDB"/>
  <w15:docId w15:val="{1166C938-E039-490A-A4F7-4257423A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4C"/>
    <w:pPr>
      <w:suppressAutoHyphens/>
    </w:pPr>
    <w:rPr>
      <w:rFonts w:ascii="Times New Roman" w:hAnsi="Times New Roman"/>
      <w:sz w:val="22"/>
      <w:szCs w:val="22"/>
      <w:lang w:val="pl-PL" w:eastAsia="zh-CN"/>
    </w:rPr>
  </w:style>
  <w:style w:type="paragraph" w:styleId="Heading1">
    <w:name w:val="heading 1"/>
    <w:basedOn w:val="Normal"/>
    <w:next w:val="NormalKeep"/>
    <w:link w:val="Heading1Char"/>
    <w:uiPriority w:val="9"/>
    <w:qFormat/>
    <w:rsid w:val="00063C4C"/>
    <w:pPr>
      <w:keepNext/>
      <w:keepLines/>
      <w:ind w:left="561" w:hanging="561"/>
      <w:outlineLvl w:val="0"/>
    </w:pPr>
    <w:rPr>
      <w:b/>
      <w:bCs/>
    </w:rPr>
  </w:style>
  <w:style w:type="paragraph" w:styleId="Heading2">
    <w:name w:val="heading 2"/>
    <w:basedOn w:val="Normal"/>
    <w:next w:val="NormalKeep"/>
    <w:link w:val="Heading2Char"/>
    <w:uiPriority w:val="9"/>
    <w:unhideWhenUsed/>
    <w:qFormat/>
    <w:rsid w:val="00063C4C"/>
    <w:pPr>
      <w:keepNext/>
      <w:keepLines/>
      <w:ind w:left="562" w:hanging="562"/>
      <w:outlineLvl w:val="1"/>
    </w:pPr>
    <w:rPr>
      <w:b/>
      <w:bCs/>
    </w:rPr>
  </w:style>
  <w:style w:type="paragraph" w:styleId="Heading3">
    <w:name w:val="heading 3"/>
    <w:basedOn w:val="Normal"/>
    <w:next w:val="Normal"/>
    <w:link w:val="Heading3Char"/>
    <w:uiPriority w:val="9"/>
    <w:semiHidden/>
    <w:unhideWhenUsed/>
    <w:qFormat/>
    <w:rsid w:val="00063C4C"/>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iPriority w:val="9"/>
    <w:semiHidden/>
    <w:unhideWhenUsed/>
    <w:qFormat/>
    <w:rsid w:val="00063C4C"/>
    <w:pPr>
      <w:keepNext/>
      <w:spacing w:before="240" w:after="60"/>
      <w:outlineLvl w:val="3"/>
    </w:pPr>
    <w:rPr>
      <w:rFonts w:ascii="Calibri" w:eastAsia="DengXian" w:hAnsi="Calibri" w:cs="Arial"/>
      <w:b/>
      <w:bCs/>
      <w:sz w:val="28"/>
      <w:szCs w:val="28"/>
    </w:rPr>
  </w:style>
  <w:style w:type="paragraph" w:styleId="Heading5">
    <w:name w:val="heading 5"/>
    <w:basedOn w:val="Normal"/>
    <w:next w:val="Normal"/>
    <w:link w:val="Heading5Char"/>
    <w:uiPriority w:val="9"/>
    <w:semiHidden/>
    <w:unhideWhenUsed/>
    <w:qFormat/>
    <w:rsid w:val="00063C4C"/>
    <w:pPr>
      <w:spacing w:before="240" w:after="60"/>
      <w:outlineLvl w:val="4"/>
    </w:pPr>
    <w:rPr>
      <w:rFonts w:ascii="Calibri" w:eastAsia="DengXian" w:hAnsi="Calibri" w:cs="Arial"/>
      <w:b/>
      <w:bCs/>
      <w:i/>
      <w:iCs/>
      <w:sz w:val="26"/>
      <w:szCs w:val="26"/>
    </w:rPr>
  </w:style>
  <w:style w:type="paragraph" w:styleId="Heading6">
    <w:name w:val="heading 6"/>
    <w:basedOn w:val="Normal"/>
    <w:next w:val="Normal"/>
    <w:link w:val="Heading6Char"/>
    <w:uiPriority w:val="9"/>
    <w:semiHidden/>
    <w:unhideWhenUsed/>
    <w:qFormat/>
    <w:rsid w:val="00063C4C"/>
    <w:pPr>
      <w:spacing w:before="240" w:after="60"/>
      <w:outlineLvl w:val="5"/>
    </w:pPr>
    <w:rPr>
      <w:rFonts w:ascii="Calibri" w:eastAsia="DengXian" w:hAnsi="Calibri" w:cs="Arial"/>
      <w:b/>
      <w:bCs/>
    </w:rPr>
  </w:style>
  <w:style w:type="paragraph" w:styleId="Heading7">
    <w:name w:val="heading 7"/>
    <w:basedOn w:val="Normal"/>
    <w:next w:val="Normal"/>
    <w:link w:val="Heading7Char"/>
    <w:uiPriority w:val="9"/>
    <w:semiHidden/>
    <w:unhideWhenUsed/>
    <w:qFormat/>
    <w:rsid w:val="00063C4C"/>
    <w:pPr>
      <w:spacing w:before="240" w:after="60"/>
      <w:outlineLvl w:val="6"/>
    </w:pPr>
    <w:rPr>
      <w:rFonts w:ascii="Calibri" w:eastAsia="DengXian" w:hAnsi="Calibri" w:cs="Arial"/>
      <w:sz w:val="24"/>
      <w:szCs w:val="24"/>
    </w:rPr>
  </w:style>
  <w:style w:type="paragraph" w:styleId="Heading8">
    <w:name w:val="heading 8"/>
    <w:basedOn w:val="Normal"/>
    <w:next w:val="Normal"/>
    <w:link w:val="Heading8Char"/>
    <w:uiPriority w:val="9"/>
    <w:semiHidden/>
    <w:unhideWhenUsed/>
    <w:qFormat/>
    <w:rsid w:val="00063C4C"/>
    <w:pPr>
      <w:spacing w:before="240" w:after="60"/>
      <w:outlineLvl w:val="7"/>
    </w:pPr>
    <w:rPr>
      <w:rFonts w:ascii="Calibri" w:eastAsia="DengXian" w:hAnsi="Calibri" w:cs="Arial"/>
      <w:i/>
      <w:iCs/>
      <w:sz w:val="24"/>
      <w:szCs w:val="24"/>
    </w:rPr>
  </w:style>
  <w:style w:type="paragraph" w:styleId="Heading9">
    <w:name w:val="heading 9"/>
    <w:basedOn w:val="Normal"/>
    <w:next w:val="Normal"/>
    <w:link w:val="Heading9Char"/>
    <w:uiPriority w:val="9"/>
    <w:semiHidden/>
    <w:unhideWhenUsed/>
    <w:qFormat/>
    <w:rsid w:val="00063C4C"/>
    <w:pPr>
      <w:spacing w:before="240" w:after="60"/>
      <w:outlineLvl w:val="8"/>
    </w:pPr>
    <w:rPr>
      <w:rFonts w:ascii="Calibri Light" w:eastAsia="DengXian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63C4C"/>
    <w:rPr>
      <w:rFonts w:ascii="Times New Roman" w:hAnsi="Times New Roman"/>
      <w:b/>
      <w:bCs/>
      <w:sz w:val="22"/>
      <w:szCs w:val="22"/>
      <w:lang w:val="pl-PL"/>
    </w:rPr>
  </w:style>
  <w:style w:type="paragraph" w:customStyle="1" w:styleId="NormalKeep">
    <w:name w:val="Normal Keep"/>
    <w:basedOn w:val="Normal"/>
    <w:link w:val="NormalKeepChar"/>
    <w:qFormat/>
    <w:rsid w:val="00063C4C"/>
    <w:pPr>
      <w:keepNext/>
    </w:pPr>
  </w:style>
  <w:style w:type="paragraph" w:customStyle="1" w:styleId="Bullet">
    <w:name w:val="Bullet •"/>
    <w:basedOn w:val="Normal"/>
    <w:qFormat/>
    <w:rsid w:val="00063C4C"/>
    <w:pPr>
      <w:numPr>
        <w:numId w:val="2"/>
      </w:numPr>
    </w:pPr>
  </w:style>
  <w:style w:type="paragraph" w:customStyle="1" w:styleId="Bullet2">
    <w:name w:val="Bullet • 2"/>
    <w:basedOn w:val="Normal"/>
    <w:qFormat/>
    <w:rsid w:val="00063C4C"/>
    <w:pPr>
      <w:numPr>
        <w:numId w:val="18"/>
      </w:numPr>
    </w:pPr>
  </w:style>
  <w:style w:type="paragraph" w:customStyle="1" w:styleId="Bullet-">
    <w:name w:val="Bullet -"/>
    <w:basedOn w:val="Normal"/>
    <w:qFormat/>
    <w:rsid w:val="00063C4C"/>
    <w:pPr>
      <w:numPr>
        <w:numId w:val="3"/>
      </w:numPr>
    </w:pPr>
  </w:style>
  <w:style w:type="paragraph" w:customStyle="1" w:styleId="Bullet-2">
    <w:name w:val="Bullet - 2"/>
    <w:basedOn w:val="Normal"/>
    <w:qFormat/>
    <w:rsid w:val="00063C4C"/>
    <w:pPr>
      <w:numPr>
        <w:numId w:val="20"/>
      </w:numPr>
    </w:pPr>
  </w:style>
  <w:style w:type="paragraph" w:styleId="NormalIndent">
    <w:name w:val="Normal Indent"/>
    <w:basedOn w:val="Normal"/>
    <w:uiPriority w:val="99"/>
    <w:unhideWhenUsed/>
    <w:rsid w:val="00063C4C"/>
    <w:pPr>
      <w:ind w:left="562"/>
    </w:pPr>
  </w:style>
  <w:style w:type="paragraph" w:styleId="Header">
    <w:name w:val="header"/>
    <w:basedOn w:val="Normal"/>
    <w:link w:val="HeaderChar"/>
    <w:uiPriority w:val="99"/>
    <w:unhideWhenUsed/>
    <w:rsid w:val="00063C4C"/>
    <w:pPr>
      <w:tabs>
        <w:tab w:val="center" w:pos="4680"/>
        <w:tab w:val="right" w:pos="9360"/>
      </w:tabs>
    </w:pPr>
  </w:style>
  <w:style w:type="character" w:customStyle="1" w:styleId="HeaderChar">
    <w:name w:val="Header Char"/>
    <w:link w:val="Header"/>
    <w:uiPriority w:val="99"/>
    <w:locked/>
    <w:rsid w:val="00063C4C"/>
    <w:rPr>
      <w:rFonts w:ascii="Times New Roman" w:hAnsi="Times New Roman"/>
      <w:sz w:val="22"/>
    </w:rPr>
  </w:style>
  <w:style w:type="paragraph" w:styleId="Footer">
    <w:name w:val="footer"/>
    <w:basedOn w:val="Normal"/>
    <w:link w:val="FooterChar"/>
    <w:uiPriority w:val="99"/>
    <w:unhideWhenUsed/>
    <w:rsid w:val="00063C4C"/>
    <w:pPr>
      <w:jc w:val="center"/>
    </w:pPr>
    <w:rPr>
      <w:rFonts w:ascii="Arial" w:hAnsi="Arial" w:cs="Arial"/>
      <w:sz w:val="16"/>
      <w:szCs w:val="16"/>
    </w:rPr>
  </w:style>
  <w:style w:type="character" w:customStyle="1" w:styleId="FooterChar">
    <w:name w:val="Footer Char"/>
    <w:link w:val="Footer"/>
    <w:uiPriority w:val="99"/>
    <w:locked/>
    <w:rsid w:val="00063C4C"/>
    <w:rPr>
      <w:rFonts w:ascii="Arial" w:hAnsi="Arial" w:cs="Arial"/>
      <w:sz w:val="16"/>
      <w:szCs w:val="16"/>
      <w:lang w:val="pl-PL"/>
    </w:rPr>
  </w:style>
  <w:style w:type="paragraph" w:customStyle="1" w:styleId="Heading1LAB">
    <w:name w:val="Heading 1 LAB"/>
    <w:basedOn w:val="Heading1"/>
    <w:next w:val="NormalKeep"/>
    <w:link w:val="Heading1LABChar"/>
    <w:qFormat/>
    <w:rsid w:val="00063C4C"/>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063C4C"/>
    <w:rPr>
      <w:i/>
      <w:iCs/>
    </w:rPr>
  </w:style>
  <w:style w:type="character" w:customStyle="1" w:styleId="Heading1LABChar">
    <w:name w:val="Heading 1 LAB Char"/>
    <w:link w:val="Heading1LAB"/>
    <w:locked/>
    <w:rsid w:val="00063C4C"/>
    <w:rPr>
      <w:rFonts w:ascii="Times New Roman" w:hAnsi="Times New Roman" w:cs="Times New Roman"/>
      <w:b/>
      <w:sz w:val="22"/>
      <w:szCs w:val="22"/>
      <w:lang w:val="pl-PL" w:eastAsia="zh-CN"/>
    </w:rPr>
  </w:style>
  <w:style w:type="character" w:styleId="Strong">
    <w:name w:val="Strong"/>
    <w:uiPriority w:val="22"/>
    <w:qFormat/>
    <w:rsid w:val="00063C4C"/>
    <w:rPr>
      <w:b/>
      <w:bCs/>
    </w:rPr>
  </w:style>
  <w:style w:type="character" w:customStyle="1" w:styleId="Underline">
    <w:name w:val="Underline"/>
    <w:uiPriority w:val="1"/>
    <w:qFormat/>
    <w:rsid w:val="00063C4C"/>
    <w:rPr>
      <w:u w:val="single"/>
    </w:rPr>
  </w:style>
  <w:style w:type="character" w:customStyle="1" w:styleId="Superscript">
    <w:name w:val="Superscript"/>
    <w:uiPriority w:val="1"/>
    <w:qFormat/>
    <w:rsid w:val="00063C4C"/>
    <w:rPr>
      <w:vertAlign w:val="superscript"/>
    </w:rPr>
  </w:style>
  <w:style w:type="character" w:customStyle="1" w:styleId="Subscript">
    <w:name w:val="Subscript"/>
    <w:uiPriority w:val="1"/>
    <w:qFormat/>
    <w:rsid w:val="00063C4C"/>
    <w:rPr>
      <w:vertAlign w:val="subscript"/>
    </w:rPr>
  </w:style>
  <w:style w:type="paragraph" w:customStyle="1" w:styleId="HeadingStrong">
    <w:name w:val="Heading Strong"/>
    <w:basedOn w:val="NormalKeep"/>
    <w:next w:val="NormalKeep"/>
    <w:link w:val="HeadingStrongChar"/>
    <w:qFormat/>
    <w:rsid w:val="00063C4C"/>
    <w:pPr>
      <w:keepLines/>
    </w:pPr>
    <w:rPr>
      <w:b/>
      <w:bCs/>
    </w:rPr>
  </w:style>
  <w:style w:type="paragraph" w:customStyle="1" w:styleId="HeadingEmphasis">
    <w:name w:val="Heading Emphasis"/>
    <w:basedOn w:val="NormalKeep"/>
    <w:next w:val="NormalKeep"/>
    <w:qFormat/>
    <w:rsid w:val="00063C4C"/>
    <w:pPr>
      <w:keepLines/>
    </w:pPr>
    <w:rPr>
      <w:i/>
      <w:iCs/>
    </w:rPr>
  </w:style>
  <w:style w:type="character" w:customStyle="1" w:styleId="NormalKeepChar">
    <w:name w:val="Normal Keep Char"/>
    <w:link w:val="NormalKeep"/>
    <w:locked/>
    <w:rsid w:val="00063C4C"/>
    <w:rPr>
      <w:rFonts w:ascii="Times New Roman" w:hAnsi="Times New Roman"/>
      <w:sz w:val="22"/>
      <w:lang w:val="pl-PL" w:eastAsia="zh-CN"/>
    </w:rPr>
  </w:style>
  <w:style w:type="character" w:customStyle="1" w:styleId="HeadingStrongChar">
    <w:name w:val="Heading Strong Char"/>
    <w:link w:val="HeadingStrong"/>
    <w:locked/>
    <w:rsid w:val="00063C4C"/>
    <w:rPr>
      <w:rFonts w:ascii="Times New Roman" w:hAnsi="Times New Roman"/>
      <w:b/>
      <w:bCs/>
      <w:sz w:val="22"/>
      <w:szCs w:val="22"/>
      <w:lang w:val="pl-PL"/>
    </w:rPr>
  </w:style>
  <w:style w:type="paragraph" w:customStyle="1" w:styleId="HeadingUnderlined">
    <w:name w:val="Heading Underlined"/>
    <w:basedOn w:val="NormalKeep"/>
    <w:next w:val="NormalKeep"/>
    <w:link w:val="HeadingUnderlinedChar"/>
    <w:qFormat/>
    <w:rsid w:val="00063C4C"/>
    <w:pPr>
      <w:keepLines/>
    </w:pPr>
    <w:rPr>
      <w:u w:val="single"/>
    </w:rPr>
  </w:style>
  <w:style w:type="paragraph" w:styleId="Title">
    <w:name w:val="Title"/>
    <w:basedOn w:val="Heading1"/>
    <w:next w:val="NormalKeep"/>
    <w:link w:val="TitleChar"/>
    <w:uiPriority w:val="10"/>
    <w:qFormat/>
    <w:rsid w:val="00063C4C"/>
    <w:pPr>
      <w:ind w:left="0" w:firstLine="0"/>
      <w:jc w:val="center"/>
    </w:pPr>
  </w:style>
  <w:style w:type="character" w:customStyle="1" w:styleId="TitleChar">
    <w:name w:val="Title Char"/>
    <w:link w:val="Title"/>
    <w:uiPriority w:val="10"/>
    <w:locked/>
    <w:rsid w:val="00063C4C"/>
    <w:rPr>
      <w:rFonts w:ascii="Times New Roman" w:hAnsi="Times New Roman"/>
      <w:b/>
      <w:bCs/>
      <w:sz w:val="22"/>
      <w:szCs w:val="22"/>
      <w:lang w:val="pl-PL"/>
    </w:rPr>
  </w:style>
  <w:style w:type="character" w:customStyle="1" w:styleId="HeadingUnderlinedChar">
    <w:name w:val="Heading Underlined Char"/>
    <w:link w:val="HeadingUnderlined"/>
    <w:locked/>
    <w:rsid w:val="00063C4C"/>
    <w:rPr>
      <w:rFonts w:ascii="Times New Roman" w:hAnsi="Times New Roman"/>
      <w:sz w:val="22"/>
      <w:u w:val="single"/>
      <w:lang w:val="pl-PL" w:eastAsia="zh-CN"/>
    </w:rPr>
  </w:style>
  <w:style w:type="paragraph" w:customStyle="1" w:styleId="NormalCentred">
    <w:name w:val="Normal Centred"/>
    <w:basedOn w:val="Normal"/>
    <w:qFormat/>
    <w:rsid w:val="00063C4C"/>
    <w:pPr>
      <w:jc w:val="center"/>
    </w:pPr>
  </w:style>
  <w:style w:type="paragraph" w:customStyle="1" w:styleId="HeadingUnderlinedEmphasis">
    <w:name w:val="Heading Underlined Emphasis"/>
    <w:basedOn w:val="HeadingUnderlined"/>
    <w:next w:val="NormalKeep"/>
    <w:qFormat/>
    <w:rsid w:val="00063C4C"/>
    <w:rPr>
      <w:i/>
      <w:iCs/>
    </w:rPr>
  </w:style>
  <w:style w:type="paragraph" w:customStyle="1" w:styleId="NormalHanging">
    <w:name w:val="Normal Hanging"/>
    <w:basedOn w:val="Normal"/>
    <w:qFormat/>
    <w:rsid w:val="00063C4C"/>
    <w:pPr>
      <w:ind w:left="562" w:hanging="562"/>
    </w:pPr>
  </w:style>
  <w:style w:type="paragraph" w:customStyle="1" w:styleId="Heading1Indent">
    <w:name w:val="Heading 1 Indent"/>
    <w:basedOn w:val="Heading1"/>
    <w:next w:val="NormalKeep"/>
    <w:qFormat/>
    <w:rsid w:val="00063C4C"/>
    <w:pPr>
      <w:ind w:left="1685" w:hanging="562"/>
    </w:pPr>
  </w:style>
  <w:style w:type="paragraph" w:customStyle="1" w:styleId="HeadingStrongEmphasis">
    <w:name w:val="Heading Strong Emphasis"/>
    <w:basedOn w:val="HeadingStrong"/>
    <w:next w:val="NormalKeep"/>
    <w:qFormat/>
    <w:rsid w:val="00063C4C"/>
    <w:rPr>
      <w:i/>
      <w:iCs/>
    </w:rPr>
  </w:style>
  <w:style w:type="paragraph" w:customStyle="1" w:styleId="HeadingStrLAB">
    <w:name w:val="Heading Str LAB"/>
    <w:basedOn w:val="HeadingStrong"/>
    <w:next w:val="Normal"/>
    <w:qFormat/>
    <w:rsid w:val="00063C4C"/>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063C4C"/>
    <w:pPr>
      <w:ind w:left="288" w:hanging="288"/>
    </w:pPr>
  </w:style>
  <w:style w:type="character" w:styleId="Hyperlink">
    <w:name w:val="Hyperlink"/>
    <w:uiPriority w:val="99"/>
    <w:unhideWhenUsed/>
    <w:rsid w:val="00063C4C"/>
    <w:rPr>
      <w:color w:val="0000FF"/>
      <w:u w:val="single"/>
    </w:rPr>
  </w:style>
  <w:style w:type="paragraph" w:customStyle="1" w:styleId="TableTitle">
    <w:name w:val="Table Title"/>
    <w:basedOn w:val="Heading1"/>
    <w:next w:val="NormalKeep"/>
    <w:qFormat/>
    <w:rsid w:val="00063C4C"/>
    <w:pPr>
      <w:ind w:left="1138" w:hanging="1138"/>
    </w:pPr>
  </w:style>
  <w:style w:type="table" w:styleId="TableGrid">
    <w:name w:val="Table Grid"/>
    <w:basedOn w:val="TableNormal"/>
    <w:uiPriority w:val="59"/>
    <w:rsid w:val="00063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
    <w:name w:val="Blank"/>
    <w:basedOn w:val="TableNormal"/>
    <w:uiPriority w:val="99"/>
    <w:rsid w:val="00063C4C"/>
    <w:rPr>
      <w:rFonts w:ascii="Times New Roman" w:hAnsi="Times New Roman"/>
    </w:rPr>
    <w:tblPr>
      <w:tblCellMar>
        <w:left w:w="0" w:type="dxa"/>
        <w:right w:w="0" w:type="dxa"/>
      </w:tblCellMar>
    </w:tblPr>
    <w:trPr>
      <w:cantSplit/>
    </w:trPr>
  </w:style>
  <w:style w:type="table" w:customStyle="1" w:styleId="Standard1">
    <w:name w:val="Standard1"/>
    <w:basedOn w:val="TableNormal"/>
    <w:uiPriority w:val="99"/>
    <w:rsid w:val="00063C4C"/>
    <w:rPr>
      <w:rFonts w:ascii="Times New Roman" w:hAnsi="Times New Roman"/>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Pr>
    <w:trPr>
      <w:cantSplit/>
    </w:trPr>
  </w:style>
  <w:style w:type="character" w:customStyle="1" w:styleId="EmphasisUnderline">
    <w:name w:val="Emphasis Underline"/>
    <w:uiPriority w:val="1"/>
    <w:qFormat/>
    <w:rsid w:val="00063C4C"/>
    <w:rPr>
      <w:i/>
      <w:iCs/>
      <w:u w:val="single"/>
    </w:rPr>
  </w:style>
  <w:style w:type="character" w:customStyle="1" w:styleId="Heading2Char">
    <w:name w:val="Heading 2 Char"/>
    <w:link w:val="Heading2"/>
    <w:uiPriority w:val="9"/>
    <w:rsid w:val="00063C4C"/>
    <w:rPr>
      <w:rFonts w:ascii="Times New Roman" w:hAnsi="Times New Roman"/>
      <w:b/>
      <w:bCs/>
      <w:sz w:val="22"/>
      <w:szCs w:val="22"/>
      <w:lang w:val="pl-PL"/>
    </w:rPr>
  </w:style>
  <w:style w:type="paragraph" w:styleId="BalloonText">
    <w:name w:val="Balloon Text"/>
    <w:basedOn w:val="Normal"/>
    <w:link w:val="BalloonTextChar"/>
    <w:uiPriority w:val="99"/>
    <w:semiHidden/>
    <w:unhideWhenUsed/>
    <w:rsid w:val="00063C4C"/>
    <w:rPr>
      <w:rFonts w:ascii="Segoe UI" w:hAnsi="Segoe UI" w:cs="Segoe UI"/>
      <w:sz w:val="18"/>
      <w:szCs w:val="18"/>
    </w:rPr>
  </w:style>
  <w:style w:type="character" w:customStyle="1" w:styleId="BalloonTextChar">
    <w:name w:val="Balloon Text Char"/>
    <w:link w:val="BalloonText"/>
    <w:uiPriority w:val="99"/>
    <w:semiHidden/>
    <w:rsid w:val="00063C4C"/>
    <w:rPr>
      <w:rFonts w:ascii="Segoe UI" w:hAnsi="Segoe UI" w:cs="Segoe UI"/>
      <w:sz w:val="18"/>
      <w:szCs w:val="18"/>
      <w:lang w:val="pl-PL"/>
    </w:rPr>
  </w:style>
  <w:style w:type="paragraph" w:styleId="Bibliography">
    <w:name w:val="Bibliography"/>
    <w:basedOn w:val="Normal"/>
    <w:next w:val="Normal"/>
    <w:uiPriority w:val="37"/>
    <w:semiHidden/>
    <w:unhideWhenUsed/>
    <w:rsid w:val="00063C4C"/>
  </w:style>
  <w:style w:type="paragraph" w:styleId="BlockText">
    <w:name w:val="Block Text"/>
    <w:basedOn w:val="Normal"/>
    <w:uiPriority w:val="99"/>
    <w:semiHidden/>
    <w:unhideWhenUsed/>
    <w:rsid w:val="00063C4C"/>
    <w:pPr>
      <w:spacing w:after="120"/>
      <w:ind w:left="1440" w:right="1440"/>
    </w:pPr>
  </w:style>
  <w:style w:type="paragraph" w:styleId="BodyText">
    <w:name w:val="Body Text"/>
    <w:basedOn w:val="Normal"/>
    <w:link w:val="BodyTextChar"/>
    <w:uiPriority w:val="99"/>
    <w:semiHidden/>
    <w:unhideWhenUsed/>
    <w:rsid w:val="00063C4C"/>
    <w:pPr>
      <w:spacing w:after="120"/>
    </w:pPr>
  </w:style>
  <w:style w:type="character" w:customStyle="1" w:styleId="BodyTextChar">
    <w:name w:val="Body Text Char"/>
    <w:link w:val="BodyText"/>
    <w:uiPriority w:val="99"/>
    <w:semiHidden/>
    <w:rsid w:val="00063C4C"/>
    <w:rPr>
      <w:rFonts w:ascii="Times New Roman" w:hAnsi="Times New Roman"/>
      <w:sz w:val="22"/>
      <w:szCs w:val="22"/>
      <w:lang w:val="pl-PL"/>
    </w:rPr>
  </w:style>
  <w:style w:type="paragraph" w:styleId="BodyText2">
    <w:name w:val="Body Text 2"/>
    <w:basedOn w:val="Normal"/>
    <w:link w:val="BodyText2Char"/>
    <w:uiPriority w:val="99"/>
    <w:semiHidden/>
    <w:unhideWhenUsed/>
    <w:rsid w:val="00063C4C"/>
    <w:pPr>
      <w:spacing w:after="120" w:line="480" w:lineRule="auto"/>
    </w:pPr>
  </w:style>
  <w:style w:type="character" w:customStyle="1" w:styleId="BodyText2Char">
    <w:name w:val="Body Text 2 Char"/>
    <w:link w:val="BodyText2"/>
    <w:uiPriority w:val="99"/>
    <w:semiHidden/>
    <w:rsid w:val="00063C4C"/>
    <w:rPr>
      <w:rFonts w:ascii="Times New Roman" w:hAnsi="Times New Roman"/>
      <w:sz w:val="22"/>
      <w:szCs w:val="22"/>
      <w:lang w:val="pl-PL"/>
    </w:rPr>
  </w:style>
  <w:style w:type="paragraph" w:styleId="BodyText3">
    <w:name w:val="Body Text 3"/>
    <w:basedOn w:val="Normal"/>
    <w:link w:val="BodyText3Char"/>
    <w:uiPriority w:val="99"/>
    <w:semiHidden/>
    <w:unhideWhenUsed/>
    <w:rsid w:val="00063C4C"/>
    <w:pPr>
      <w:spacing w:after="120"/>
    </w:pPr>
    <w:rPr>
      <w:sz w:val="16"/>
      <w:szCs w:val="16"/>
    </w:rPr>
  </w:style>
  <w:style w:type="character" w:customStyle="1" w:styleId="BodyText3Char">
    <w:name w:val="Body Text 3 Char"/>
    <w:link w:val="BodyText3"/>
    <w:uiPriority w:val="99"/>
    <w:semiHidden/>
    <w:rsid w:val="00063C4C"/>
    <w:rPr>
      <w:rFonts w:ascii="Times New Roman" w:hAnsi="Times New Roman"/>
      <w:sz w:val="16"/>
      <w:szCs w:val="16"/>
      <w:lang w:val="pl-PL"/>
    </w:rPr>
  </w:style>
  <w:style w:type="paragraph" w:styleId="BodyTextFirstIndent">
    <w:name w:val="Body Text First Indent"/>
    <w:basedOn w:val="BodyText"/>
    <w:link w:val="BodyTextFirstIndentChar"/>
    <w:uiPriority w:val="99"/>
    <w:semiHidden/>
    <w:unhideWhenUsed/>
    <w:rsid w:val="00063C4C"/>
    <w:pPr>
      <w:ind w:firstLine="210"/>
    </w:pPr>
  </w:style>
  <w:style w:type="character" w:customStyle="1" w:styleId="BodyTextFirstIndentChar">
    <w:name w:val="Body Text First Indent Char"/>
    <w:link w:val="BodyTextFirstIndent"/>
    <w:uiPriority w:val="99"/>
    <w:semiHidden/>
    <w:rsid w:val="00063C4C"/>
    <w:rPr>
      <w:rFonts w:ascii="Times New Roman" w:hAnsi="Times New Roman"/>
      <w:sz w:val="22"/>
      <w:szCs w:val="22"/>
      <w:lang w:val="pl-PL"/>
    </w:rPr>
  </w:style>
  <w:style w:type="paragraph" w:styleId="BodyTextIndent">
    <w:name w:val="Body Text Indent"/>
    <w:basedOn w:val="Normal"/>
    <w:link w:val="BodyTextIndentChar"/>
    <w:uiPriority w:val="99"/>
    <w:semiHidden/>
    <w:unhideWhenUsed/>
    <w:rsid w:val="00063C4C"/>
    <w:pPr>
      <w:spacing w:after="120"/>
      <w:ind w:left="360"/>
    </w:pPr>
  </w:style>
  <w:style w:type="character" w:customStyle="1" w:styleId="BodyTextIndentChar">
    <w:name w:val="Body Text Indent Char"/>
    <w:link w:val="BodyTextIndent"/>
    <w:uiPriority w:val="99"/>
    <w:semiHidden/>
    <w:rsid w:val="00063C4C"/>
    <w:rPr>
      <w:rFonts w:ascii="Times New Roman" w:hAnsi="Times New Roman"/>
      <w:sz w:val="22"/>
      <w:szCs w:val="22"/>
      <w:lang w:val="pl-PL"/>
    </w:rPr>
  </w:style>
  <w:style w:type="paragraph" w:styleId="BodyTextFirstIndent2">
    <w:name w:val="Body Text First Indent 2"/>
    <w:basedOn w:val="BodyTextIndent"/>
    <w:link w:val="BodyTextFirstIndent2Char"/>
    <w:uiPriority w:val="99"/>
    <w:semiHidden/>
    <w:unhideWhenUsed/>
    <w:rsid w:val="00063C4C"/>
    <w:pPr>
      <w:ind w:firstLine="210"/>
    </w:pPr>
  </w:style>
  <w:style w:type="character" w:customStyle="1" w:styleId="BodyTextFirstIndent2Char">
    <w:name w:val="Body Text First Indent 2 Char"/>
    <w:link w:val="BodyTextFirstIndent2"/>
    <w:uiPriority w:val="99"/>
    <w:semiHidden/>
    <w:rsid w:val="00063C4C"/>
    <w:rPr>
      <w:rFonts w:ascii="Times New Roman" w:hAnsi="Times New Roman"/>
      <w:sz w:val="22"/>
      <w:szCs w:val="22"/>
      <w:lang w:val="pl-PL"/>
    </w:rPr>
  </w:style>
  <w:style w:type="paragraph" w:styleId="BodyTextIndent2">
    <w:name w:val="Body Text Indent 2"/>
    <w:basedOn w:val="Normal"/>
    <w:link w:val="BodyTextIndent2Char"/>
    <w:uiPriority w:val="99"/>
    <w:semiHidden/>
    <w:unhideWhenUsed/>
    <w:rsid w:val="00063C4C"/>
    <w:pPr>
      <w:spacing w:after="120" w:line="480" w:lineRule="auto"/>
      <w:ind w:left="360"/>
    </w:pPr>
  </w:style>
  <w:style w:type="character" w:customStyle="1" w:styleId="BodyTextIndent2Char">
    <w:name w:val="Body Text Indent 2 Char"/>
    <w:link w:val="BodyTextIndent2"/>
    <w:uiPriority w:val="99"/>
    <w:semiHidden/>
    <w:rsid w:val="00063C4C"/>
    <w:rPr>
      <w:rFonts w:ascii="Times New Roman" w:hAnsi="Times New Roman"/>
      <w:sz w:val="22"/>
      <w:szCs w:val="22"/>
      <w:lang w:val="pl-PL"/>
    </w:rPr>
  </w:style>
  <w:style w:type="paragraph" w:styleId="BodyTextIndent3">
    <w:name w:val="Body Text Indent 3"/>
    <w:basedOn w:val="Normal"/>
    <w:link w:val="BodyTextIndent3Char"/>
    <w:uiPriority w:val="99"/>
    <w:semiHidden/>
    <w:unhideWhenUsed/>
    <w:rsid w:val="00063C4C"/>
    <w:pPr>
      <w:spacing w:after="120"/>
      <w:ind w:left="360"/>
    </w:pPr>
    <w:rPr>
      <w:sz w:val="16"/>
      <w:szCs w:val="16"/>
    </w:rPr>
  </w:style>
  <w:style w:type="character" w:customStyle="1" w:styleId="BodyTextIndent3Char">
    <w:name w:val="Body Text Indent 3 Char"/>
    <w:link w:val="BodyTextIndent3"/>
    <w:uiPriority w:val="99"/>
    <w:semiHidden/>
    <w:rsid w:val="00063C4C"/>
    <w:rPr>
      <w:rFonts w:ascii="Times New Roman" w:hAnsi="Times New Roman"/>
      <w:sz w:val="16"/>
      <w:szCs w:val="16"/>
      <w:lang w:val="pl-PL"/>
    </w:rPr>
  </w:style>
  <w:style w:type="paragraph" w:styleId="Caption">
    <w:name w:val="caption"/>
    <w:aliases w:val="Lisiting"/>
    <w:basedOn w:val="Normal"/>
    <w:next w:val="Normal"/>
    <w:uiPriority w:val="99"/>
    <w:unhideWhenUsed/>
    <w:qFormat/>
    <w:rsid w:val="00063C4C"/>
    <w:rPr>
      <w:b/>
      <w:bCs/>
      <w:sz w:val="20"/>
      <w:szCs w:val="20"/>
    </w:rPr>
  </w:style>
  <w:style w:type="paragraph" w:styleId="Closing">
    <w:name w:val="Closing"/>
    <w:basedOn w:val="Normal"/>
    <w:link w:val="ClosingChar"/>
    <w:uiPriority w:val="99"/>
    <w:semiHidden/>
    <w:unhideWhenUsed/>
    <w:rsid w:val="00063C4C"/>
    <w:pPr>
      <w:ind w:left="4320"/>
    </w:pPr>
  </w:style>
  <w:style w:type="character" w:customStyle="1" w:styleId="ClosingChar">
    <w:name w:val="Closing Char"/>
    <w:link w:val="Closing"/>
    <w:uiPriority w:val="99"/>
    <w:semiHidden/>
    <w:rsid w:val="00063C4C"/>
    <w:rPr>
      <w:rFonts w:ascii="Times New Roman" w:hAnsi="Times New Roman"/>
      <w:sz w:val="22"/>
      <w:szCs w:val="22"/>
      <w:lang w:val="pl-PL"/>
    </w:rPr>
  </w:style>
  <w:style w:type="paragraph" w:styleId="CommentText">
    <w:name w:val="annotation text"/>
    <w:basedOn w:val="Normal"/>
    <w:link w:val="CommentTextChar"/>
    <w:uiPriority w:val="99"/>
    <w:unhideWhenUsed/>
    <w:rsid w:val="00063C4C"/>
    <w:rPr>
      <w:sz w:val="20"/>
      <w:szCs w:val="20"/>
    </w:rPr>
  </w:style>
  <w:style w:type="character" w:customStyle="1" w:styleId="CommentTextChar">
    <w:name w:val="Comment Text Char"/>
    <w:link w:val="CommentText"/>
    <w:uiPriority w:val="99"/>
    <w:rsid w:val="00063C4C"/>
    <w:rPr>
      <w:rFonts w:ascii="Times New Roman" w:hAnsi="Times New Roman"/>
      <w:lang w:val="pl-PL"/>
    </w:rPr>
  </w:style>
  <w:style w:type="paragraph" w:styleId="CommentSubject">
    <w:name w:val="annotation subject"/>
    <w:basedOn w:val="CommentText"/>
    <w:next w:val="CommentText"/>
    <w:link w:val="CommentSubjectChar"/>
    <w:uiPriority w:val="99"/>
    <w:semiHidden/>
    <w:unhideWhenUsed/>
    <w:rsid w:val="00063C4C"/>
    <w:rPr>
      <w:b/>
      <w:bCs/>
    </w:rPr>
  </w:style>
  <w:style w:type="character" w:customStyle="1" w:styleId="CommentSubjectChar">
    <w:name w:val="Comment Subject Char"/>
    <w:link w:val="CommentSubject"/>
    <w:uiPriority w:val="99"/>
    <w:semiHidden/>
    <w:rsid w:val="00063C4C"/>
    <w:rPr>
      <w:rFonts w:ascii="Times New Roman" w:hAnsi="Times New Roman"/>
      <w:b/>
      <w:bCs/>
      <w:lang w:val="pl-PL"/>
    </w:rPr>
  </w:style>
  <w:style w:type="paragraph" w:styleId="Date">
    <w:name w:val="Date"/>
    <w:basedOn w:val="Normal"/>
    <w:next w:val="Normal"/>
    <w:link w:val="DateChar"/>
    <w:uiPriority w:val="99"/>
    <w:semiHidden/>
    <w:unhideWhenUsed/>
    <w:rsid w:val="00063C4C"/>
  </w:style>
  <w:style w:type="character" w:customStyle="1" w:styleId="DateChar">
    <w:name w:val="Date Char"/>
    <w:link w:val="Date"/>
    <w:uiPriority w:val="99"/>
    <w:semiHidden/>
    <w:rsid w:val="00063C4C"/>
    <w:rPr>
      <w:rFonts w:ascii="Times New Roman" w:hAnsi="Times New Roman"/>
      <w:sz w:val="22"/>
      <w:szCs w:val="22"/>
      <w:lang w:val="pl-PL"/>
    </w:rPr>
  </w:style>
  <w:style w:type="paragraph" w:styleId="DocumentMap">
    <w:name w:val="Document Map"/>
    <w:basedOn w:val="Normal"/>
    <w:link w:val="DocumentMapChar"/>
    <w:uiPriority w:val="99"/>
    <w:semiHidden/>
    <w:unhideWhenUsed/>
    <w:rsid w:val="00063C4C"/>
    <w:rPr>
      <w:rFonts w:ascii="Segoe UI" w:hAnsi="Segoe UI" w:cs="Segoe UI"/>
      <w:sz w:val="16"/>
      <w:szCs w:val="16"/>
    </w:rPr>
  </w:style>
  <w:style w:type="character" w:customStyle="1" w:styleId="DocumentMapChar">
    <w:name w:val="Document Map Char"/>
    <w:link w:val="DocumentMap"/>
    <w:uiPriority w:val="99"/>
    <w:semiHidden/>
    <w:rsid w:val="00063C4C"/>
    <w:rPr>
      <w:rFonts w:ascii="Segoe UI" w:hAnsi="Segoe UI" w:cs="Segoe UI"/>
      <w:sz w:val="16"/>
      <w:szCs w:val="16"/>
      <w:lang w:val="pl-PL"/>
    </w:rPr>
  </w:style>
  <w:style w:type="paragraph" w:styleId="E-mailSignature">
    <w:name w:val="E-mail Signature"/>
    <w:basedOn w:val="Normal"/>
    <w:link w:val="E-mailSignatureChar"/>
    <w:uiPriority w:val="99"/>
    <w:semiHidden/>
    <w:unhideWhenUsed/>
    <w:rsid w:val="00063C4C"/>
  </w:style>
  <w:style w:type="character" w:customStyle="1" w:styleId="E-mailSignatureChar">
    <w:name w:val="E-mail Signature Char"/>
    <w:link w:val="E-mailSignature"/>
    <w:uiPriority w:val="99"/>
    <w:semiHidden/>
    <w:rsid w:val="00063C4C"/>
    <w:rPr>
      <w:rFonts w:ascii="Times New Roman" w:hAnsi="Times New Roman"/>
      <w:sz w:val="22"/>
      <w:szCs w:val="22"/>
      <w:lang w:val="pl-PL"/>
    </w:rPr>
  </w:style>
  <w:style w:type="paragraph" w:styleId="EndnoteText">
    <w:name w:val="endnote text"/>
    <w:basedOn w:val="Normal"/>
    <w:link w:val="EndnoteTextChar"/>
    <w:uiPriority w:val="99"/>
    <w:semiHidden/>
    <w:unhideWhenUsed/>
    <w:rsid w:val="00063C4C"/>
    <w:rPr>
      <w:sz w:val="20"/>
      <w:szCs w:val="20"/>
    </w:rPr>
  </w:style>
  <w:style w:type="character" w:customStyle="1" w:styleId="EndnoteTextChar">
    <w:name w:val="Endnote Text Char"/>
    <w:link w:val="EndnoteText"/>
    <w:uiPriority w:val="99"/>
    <w:semiHidden/>
    <w:rsid w:val="00063C4C"/>
    <w:rPr>
      <w:rFonts w:ascii="Times New Roman" w:hAnsi="Times New Roman"/>
      <w:lang w:val="pl-PL"/>
    </w:rPr>
  </w:style>
  <w:style w:type="paragraph" w:styleId="EnvelopeAddress">
    <w:name w:val="envelope address"/>
    <w:basedOn w:val="Normal"/>
    <w:uiPriority w:val="99"/>
    <w:semiHidden/>
    <w:unhideWhenUsed/>
    <w:rsid w:val="00063C4C"/>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uiPriority w:val="99"/>
    <w:semiHidden/>
    <w:unhideWhenUsed/>
    <w:rsid w:val="00063C4C"/>
    <w:rPr>
      <w:rFonts w:ascii="Calibri Light" w:eastAsia="DengXian Light" w:hAnsi="Calibri Light"/>
      <w:sz w:val="20"/>
      <w:szCs w:val="20"/>
    </w:rPr>
  </w:style>
  <w:style w:type="paragraph" w:styleId="FootnoteText">
    <w:name w:val="footnote text"/>
    <w:basedOn w:val="Normal"/>
    <w:link w:val="FootnoteTextChar"/>
    <w:uiPriority w:val="99"/>
    <w:semiHidden/>
    <w:unhideWhenUsed/>
    <w:rsid w:val="00063C4C"/>
    <w:rPr>
      <w:sz w:val="20"/>
      <w:szCs w:val="20"/>
    </w:rPr>
  </w:style>
  <w:style w:type="character" w:customStyle="1" w:styleId="FootnoteTextChar">
    <w:name w:val="Footnote Text Char"/>
    <w:link w:val="FootnoteText"/>
    <w:uiPriority w:val="99"/>
    <w:semiHidden/>
    <w:rsid w:val="00063C4C"/>
    <w:rPr>
      <w:rFonts w:ascii="Times New Roman" w:hAnsi="Times New Roman"/>
      <w:lang w:val="pl-PL"/>
    </w:rPr>
  </w:style>
  <w:style w:type="character" w:customStyle="1" w:styleId="Heading3Char">
    <w:name w:val="Heading 3 Char"/>
    <w:link w:val="Heading3"/>
    <w:uiPriority w:val="9"/>
    <w:semiHidden/>
    <w:rsid w:val="00063C4C"/>
    <w:rPr>
      <w:rFonts w:ascii="Calibri Light" w:eastAsia="DengXian Light" w:hAnsi="Calibri Light" w:cs="Times New Roman"/>
      <w:b/>
      <w:bCs/>
      <w:sz w:val="26"/>
      <w:szCs w:val="26"/>
      <w:lang w:val="pl-PL"/>
    </w:rPr>
  </w:style>
  <w:style w:type="character" w:customStyle="1" w:styleId="Heading4Char">
    <w:name w:val="Heading 4 Char"/>
    <w:link w:val="Heading4"/>
    <w:uiPriority w:val="9"/>
    <w:semiHidden/>
    <w:rsid w:val="00063C4C"/>
    <w:rPr>
      <w:rFonts w:ascii="Calibri" w:eastAsia="DengXian" w:hAnsi="Calibri" w:cs="Arial"/>
      <w:b/>
      <w:bCs/>
      <w:sz w:val="28"/>
      <w:szCs w:val="28"/>
      <w:lang w:val="pl-PL"/>
    </w:rPr>
  </w:style>
  <w:style w:type="character" w:customStyle="1" w:styleId="Heading5Char">
    <w:name w:val="Heading 5 Char"/>
    <w:link w:val="Heading5"/>
    <w:uiPriority w:val="9"/>
    <w:semiHidden/>
    <w:rsid w:val="00063C4C"/>
    <w:rPr>
      <w:rFonts w:ascii="Calibri" w:eastAsia="DengXian" w:hAnsi="Calibri" w:cs="Arial"/>
      <w:b/>
      <w:bCs/>
      <w:i/>
      <w:iCs/>
      <w:sz w:val="26"/>
      <w:szCs w:val="26"/>
      <w:lang w:val="pl-PL"/>
    </w:rPr>
  </w:style>
  <w:style w:type="character" w:customStyle="1" w:styleId="Heading6Char">
    <w:name w:val="Heading 6 Char"/>
    <w:link w:val="Heading6"/>
    <w:uiPriority w:val="9"/>
    <w:semiHidden/>
    <w:rsid w:val="00063C4C"/>
    <w:rPr>
      <w:rFonts w:ascii="Calibri" w:eastAsia="DengXian" w:hAnsi="Calibri" w:cs="Arial"/>
      <w:b/>
      <w:bCs/>
      <w:sz w:val="22"/>
      <w:szCs w:val="22"/>
      <w:lang w:val="pl-PL"/>
    </w:rPr>
  </w:style>
  <w:style w:type="character" w:customStyle="1" w:styleId="Heading7Char">
    <w:name w:val="Heading 7 Char"/>
    <w:link w:val="Heading7"/>
    <w:uiPriority w:val="9"/>
    <w:semiHidden/>
    <w:rsid w:val="00063C4C"/>
    <w:rPr>
      <w:rFonts w:ascii="Calibri" w:eastAsia="DengXian" w:hAnsi="Calibri" w:cs="Arial"/>
      <w:sz w:val="24"/>
      <w:szCs w:val="24"/>
      <w:lang w:val="pl-PL"/>
    </w:rPr>
  </w:style>
  <w:style w:type="character" w:customStyle="1" w:styleId="Heading8Char">
    <w:name w:val="Heading 8 Char"/>
    <w:link w:val="Heading8"/>
    <w:uiPriority w:val="9"/>
    <w:semiHidden/>
    <w:rsid w:val="00063C4C"/>
    <w:rPr>
      <w:rFonts w:ascii="Calibri" w:eastAsia="DengXian" w:hAnsi="Calibri" w:cs="Arial"/>
      <w:i/>
      <w:iCs/>
      <w:sz w:val="24"/>
      <w:szCs w:val="24"/>
      <w:lang w:val="pl-PL"/>
    </w:rPr>
  </w:style>
  <w:style w:type="character" w:customStyle="1" w:styleId="Heading9Char">
    <w:name w:val="Heading 9 Char"/>
    <w:link w:val="Heading9"/>
    <w:uiPriority w:val="9"/>
    <w:semiHidden/>
    <w:rsid w:val="00063C4C"/>
    <w:rPr>
      <w:rFonts w:ascii="Calibri Light" w:eastAsia="DengXian Light" w:hAnsi="Calibri Light" w:cs="Times New Roman"/>
      <w:sz w:val="22"/>
      <w:szCs w:val="22"/>
      <w:lang w:val="pl-PL"/>
    </w:rPr>
  </w:style>
  <w:style w:type="paragraph" w:styleId="HTMLAddress">
    <w:name w:val="HTML Address"/>
    <w:basedOn w:val="Normal"/>
    <w:link w:val="HTMLAddressChar"/>
    <w:uiPriority w:val="99"/>
    <w:semiHidden/>
    <w:unhideWhenUsed/>
    <w:rsid w:val="00063C4C"/>
    <w:rPr>
      <w:i/>
      <w:iCs/>
    </w:rPr>
  </w:style>
  <w:style w:type="character" w:customStyle="1" w:styleId="HTMLAddressChar">
    <w:name w:val="HTML Address Char"/>
    <w:link w:val="HTMLAddress"/>
    <w:uiPriority w:val="99"/>
    <w:semiHidden/>
    <w:rsid w:val="00063C4C"/>
    <w:rPr>
      <w:rFonts w:ascii="Times New Roman" w:hAnsi="Times New Roman"/>
      <w:i/>
      <w:iCs/>
      <w:sz w:val="22"/>
      <w:szCs w:val="22"/>
      <w:lang w:val="pl-PL"/>
    </w:rPr>
  </w:style>
  <w:style w:type="paragraph" w:styleId="HTMLPreformatted">
    <w:name w:val="HTML Preformatted"/>
    <w:basedOn w:val="Normal"/>
    <w:link w:val="HTMLPreformattedChar"/>
    <w:uiPriority w:val="99"/>
    <w:semiHidden/>
    <w:unhideWhenUsed/>
    <w:rsid w:val="00063C4C"/>
    <w:rPr>
      <w:rFonts w:ascii="Courier New" w:hAnsi="Courier New" w:cs="Courier New"/>
      <w:sz w:val="20"/>
      <w:szCs w:val="20"/>
    </w:rPr>
  </w:style>
  <w:style w:type="character" w:customStyle="1" w:styleId="HTMLPreformattedChar">
    <w:name w:val="HTML Preformatted Char"/>
    <w:link w:val="HTMLPreformatted"/>
    <w:uiPriority w:val="99"/>
    <w:semiHidden/>
    <w:rsid w:val="00063C4C"/>
    <w:rPr>
      <w:rFonts w:ascii="Courier New" w:hAnsi="Courier New" w:cs="Courier New"/>
      <w:lang w:val="pl-PL"/>
    </w:rPr>
  </w:style>
  <w:style w:type="paragraph" w:styleId="Index1">
    <w:name w:val="index 1"/>
    <w:basedOn w:val="Normal"/>
    <w:next w:val="Normal"/>
    <w:autoRedefine/>
    <w:uiPriority w:val="99"/>
    <w:semiHidden/>
    <w:unhideWhenUsed/>
    <w:rsid w:val="00063C4C"/>
    <w:pPr>
      <w:ind w:left="220" w:hanging="220"/>
    </w:pPr>
  </w:style>
  <w:style w:type="paragraph" w:styleId="Index2">
    <w:name w:val="index 2"/>
    <w:basedOn w:val="Normal"/>
    <w:next w:val="Normal"/>
    <w:autoRedefine/>
    <w:uiPriority w:val="99"/>
    <w:semiHidden/>
    <w:unhideWhenUsed/>
    <w:rsid w:val="00063C4C"/>
    <w:pPr>
      <w:ind w:left="440" w:hanging="220"/>
    </w:pPr>
  </w:style>
  <w:style w:type="paragraph" w:styleId="Index3">
    <w:name w:val="index 3"/>
    <w:basedOn w:val="Normal"/>
    <w:next w:val="Normal"/>
    <w:autoRedefine/>
    <w:uiPriority w:val="99"/>
    <w:semiHidden/>
    <w:unhideWhenUsed/>
    <w:rsid w:val="00063C4C"/>
    <w:pPr>
      <w:ind w:left="660" w:hanging="220"/>
    </w:pPr>
  </w:style>
  <w:style w:type="paragraph" w:styleId="Index4">
    <w:name w:val="index 4"/>
    <w:basedOn w:val="Normal"/>
    <w:next w:val="Normal"/>
    <w:autoRedefine/>
    <w:uiPriority w:val="99"/>
    <w:semiHidden/>
    <w:unhideWhenUsed/>
    <w:rsid w:val="00063C4C"/>
    <w:pPr>
      <w:ind w:left="880" w:hanging="220"/>
    </w:pPr>
  </w:style>
  <w:style w:type="paragraph" w:styleId="Index5">
    <w:name w:val="index 5"/>
    <w:basedOn w:val="Normal"/>
    <w:next w:val="Normal"/>
    <w:autoRedefine/>
    <w:uiPriority w:val="99"/>
    <w:semiHidden/>
    <w:unhideWhenUsed/>
    <w:rsid w:val="00063C4C"/>
    <w:pPr>
      <w:ind w:left="1100" w:hanging="220"/>
    </w:pPr>
  </w:style>
  <w:style w:type="paragraph" w:styleId="Index6">
    <w:name w:val="index 6"/>
    <w:basedOn w:val="Normal"/>
    <w:next w:val="Normal"/>
    <w:autoRedefine/>
    <w:uiPriority w:val="99"/>
    <w:semiHidden/>
    <w:unhideWhenUsed/>
    <w:rsid w:val="00063C4C"/>
    <w:pPr>
      <w:ind w:left="1320" w:hanging="220"/>
    </w:pPr>
  </w:style>
  <w:style w:type="paragraph" w:styleId="Index7">
    <w:name w:val="index 7"/>
    <w:basedOn w:val="Normal"/>
    <w:next w:val="Normal"/>
    <w:autoRedefine/>
    <w:uiPriority w:val="99"/>
    <w:semiHidden/>
    <w:unhideWhenUsed/>
    <w:rsid w:val="00063C4C"/>
    <w:pPr>
      <w:ind w:left="1540" w:hanging="220"/>
    </w:pPr>
  </w:style>
  <w:style w:type="paragraph" w:styleId="Index8">
    <w:name w:val="index 8"/>
    <w:basedOn w:val="Normal"/>
    <w:next w:val="Normal"/>
    <w:autoRedefine/>
    <w:uiPriority w:val="99"/>
    <w:semiHidden/>
    <w:unhideWhenUsed/>
    <w:rsid w:val="00063C4C"/>
    <w:pPr>
      <w:ind w:left="1760" w:hanging="220"/>
    </w:pPr>
  </w:style>
  <w:style w:type="paragraph" w:styleId="Index9">
    <w:name w:val="index 9"/>
    <w:basedOn w:val="Normal"/>
    <w:next w:val="Normal"/>
    <w:autoRedefine/>
    <w:uiPriority w:val="99"/>
    <w:semiHidden/>
    <w:unhideWhenUsed/>
    <w:rsid w:val="00063C4C"/>
    <w:pPr>
      <w:ind w:left="1980" w:hanging="220"/>
    </w:pPr>
  </w:style>
  <w:style w:type="paragraph" w:styleId="IndexHeading">
    <w:name w:val="index heading"/>
    <w:basedOn w:val="Normal"/>
    <w:next w:val="Index1"/>
    <w:uiPriority w:val="99"/>
    <w:semiHidden/>
    <w:unhideWhenUsed/>
    <w:rsid w:val="00063C4C"/>
    <w:rPr>
      <w:rFonts w:ascii="Calibri Light" w:eastAsia="DengXian Light" w:hAnsi="Calibri Light"/>
      <w:b/>
      <w:bCs/>
    </w:rPr>
  </w:style>
  <w:style w:type="paragraph" w:styleId="IntenseQuote">
    <w:name w:val="Intense Quote"/>
    <w:basedOn w:val="Normal"/>
    <w:next w:val="Normal"/>
    <w:link w:val="IntenseQuoteChar"/>
    <w:uiPriority w:val="30"/>
    <w:qFormat/>
    <w:rsid w:val="00063C4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63C4C"/>
    <w:rPr>
      <w:rFonts w:ascii="Times New Roman" w:hAnsi="Times New Roman"/>
      <w:i/>
      <w:iCs/>
      <w:color w:val="4472C4"/>
      <w:sz w:val="22"/>
      <w:szCs w:val="22"/>
      <w:lang w:val="pl-PL"/>
    </w:rPr>
  </w:style>
  <w:style w:type="paragraph" w:styleId="List">
    <w:name w:val="List"/>
    <w:basedOn w:val="Normal"/>
    <w:uiPriority w:val="99"/>
    <w:semiHidden/>
    <w:unhideWhenUsed/>
    <w:rsid w:val="00063C4C"/>
    <w:pPr>
      <w:ind w:left="360" w:hanging="360"/>
      <w:contextualSpacing/>
    </w:pPr>
  </w:style>
  <w:style w:type="paragraph" w:styleId="List2">
    <w:name w:val="List 2"/>
    <w:basedOn w:val="Normal"/>
    <w:uiPriority w:val="99"/>
    <w:semiHidden/>
    <w:unhideWhenUsed/>
    <w:rsid w:val="00063C4C"/>
    <w:pPr>
      <w:ind w:left="720" w:hanging="360"/>
      <w:contextualSpacing/>
    </w:pPr>
  </w:style>
  <w:style w:type="paragraph" w:styleId="List3">
    <w:name w:val="List 3"/>
    <w:basedOn w:val="Normal"/>
    <w:uiPriority w:val="99"/>
    <w:semiHidden/>
    <w:unhideWhenUsed/>
    <w:rsid w:val="00063C4C"/>
    <w:pPr>
      <w:ind w:left="1080" w:hanging="360"/>
      <w:contextualSpacing/>
    </w:pPr>
  </w:style>
  <w:style w:type="paragraph" w:styleId="List4">
    <w:name w:val="List 4"/>
    <w:basedOn w:val="Normal"/>
    <w:uiPriority w:val="99"/>
    <w:semiHidden/>
    <w:unhideWhenUsed/>
    <w:rsid w:val="00063C4C"/>
    <w:pPr>
      <w:ind w:left="1440" w:hanging="360"/>
      <w:contextualSpacing/>
    </w:pPr>
  </w:style>
  <w:style w:type="paragraph" w:styleId="List5">
    <w:name w:val="List 5"/>
    <w:basedOn w:val="Normal"/>
    <w:uiPriority w:val="99"/>
    <w:semiHidden/>
    <w:unhideWhenUsed/>
    <w:rsid w:val="00063C4C"/>
    <w:pPr>
      <w:ind w:left="1800" w:hanging="360"/>
      <w:contextualSpacing/>
    </w:pPr>
  </w:style>
  <w:style w:type="paragraph" w:styleId="ListBullet">
    <w:name w:val="List Bullet"/>
    <w:basedOn w:val="Normal"/>
    <w:uiPriority w:val="99"/>
    <w:unhideWhenUsed/>
    <w:rsid w:val="00063C4C"/>
    <w:pPr>
      <w:numPr>
        <w:numId w:val="4"/>
      </w:numPr>
      <w:contextualSpacing/>
    </w:pPr>
  </w:style>
  <w:style w:type="paragraph" w:styleId="ListBullet2">
    <w:name w:val="List Bullet 2"/>
    <w:basedOn w:val="Normal"/>
    <w:uiPriority w:val="99"/>
    <w:semiHidden/>
    <w:unhideWhenUsed/>
    <w:rsid w:val="00063C4C"/>
    <w:pPr>
      <w:numPr>
        <w:numId w:val="5"/>
      </w:numPr>
      <w:contextualSpacing/>
    </w:pPr>
  </w:style>
  <w:style w:type="paragraph" w:styleId="ListBullet3">
    <w:name w:val="List Bullet 3"/>
    <w:basedOn w:val="Normal"/>
    <w:uiPriority w:val="99"/>
    <w:semiHidden/>
    <w:unhideWhenUsed/>
    <w:rsid w:val="00063C4C"/>
    <w:pPr>
      <w:numPr>
        <w:numId w:val="6"/>
      </w:numPr>
      <w:contextualSpacing/>
    </w:pPr>
  </w:style>
  <w:style w:type="paragraph" w:styleId="ListBullet4">
    <w:name w:val="List Bullet 4"/>
    <w:basedOn w:val="Normal"/>
    <w:uiPriority w:val="99"/>
    <w:semiHidden/>
    <w:unhideWhenUsed/>
    <w:rsid w:val="00063C4C"/>
    <w:pPr>
      <w:numPr>
        <w:numId w:val="7"/>
      </w:numPr>
      <w:contextualSpacing/>
    </w:pPr>
  </w:style>
  <w:style w:type="paragraph" w:styleId="ListBullet5">
    <w:name w:val="List Bullet 5"/>
    <w:basedOn w:val="Normal"/>
    <w:uiPriority w:val="99"/>
    <w:semiHidden/>
    <w:unhideWhenUsed/>
    <w:rsid w:val="00063C4C"/>
    <w:pPr>
      <w:numPr>
        <w:numId w:val="8"/>
      </w:numPr>
      <w:contextualSpacing/>
    </w:pPr>
  </w:style>
  <w:style w:type="paragraph" w:styleId="ListContinue">
    <w:name w:val="List Continue"/>
    <w:basedOn w:val="Normal"/>
    <w:uiPriority w:val="99"/>
    <w:semiHidden/>
    <w:unhideWhenUsed/>
    <w:rsid w:val="00063C4C"/>
    <w:pPr>
      <w:spacing w:after="120"/>
      <w:ind w:left="360"/>
      <w:contextualSpacing/>
    </w:pPr>
  </w:style>
  <w:style w:type="paragraph" w:styleId="ListContinue2">
    <w:name w:val="List Continue 2"/>
    <w:basedOn w:val="Normal"/>
    <w:uiPriority w:val="99"/>
    <w:semiHidden/>
    <w:unhideWhenUsed/>
    <w:rsid w:val="00063C4C"/>
    <w:pPr>
      <w:spacing w:after="120"/>
      <w:ind w:left="720"/>
      <w:contextualSpacing/>
    </w:pPr>
  </w:style>
  <w:style w:type="paragraph" w:styleId="ListContinue3">
    <w:name w:val="List Continue 3"/>
    <w:basedOn w:val="Normal"/>
    <w:uiPriority w:val="99"/>
    <w:semiHidden/>
    <w:unhideWhenUsed/>
    <w:rsid w:val="00063C4C"/>
    <w:pPr>
      <w:spacing w:after="120"/>
      <w:ind w:left="1080"/>
      <w:contextualSpacing/>
    </w:pPr>
  </w:style>
  <w:style w:type="paragraph" w:styleId="ListContinue4">
    <w:name w:val="List Continue 4"/>
    <w:basedOn w:val="Normal"/>
    <w:uiPriority w:val="99"/>
    <w:semiHidden/>
    <w:unhideWhenUsed/>
    <w:rsid w:val="00063C4C"/>
    <w:pPr>
      <w:spacing w:after="120"/>
      <w:ind w:left="1440"/>
      <w:contextualSpacing/>
    </w:pPr>
  </w:style>
  <w:style w:type="paragraph" w:styleId="ListContinue5">
    <w:name w:val="List Continue 5"/>
    <w:basedOn w:val="Normal"/>
    <w:uiPriority w:val="99"/>
    <w:semiHidden/>
    <w:unhideWhenUsed/>
    <w:rsid w:val="00063C4C"/>
    <w:pPr>
      <w:spacing w:after="120"/>
      <w:ind w:left="1800"/>
      <w:contextualSpacing/>
    </w:pPr>
  </w:style>
  <w:style w:type="paragraph" w:styleId="ListNumber">
    <w:name w:val="List Number"/>
    <w:basedOn w:val="Normal"/>
    <w:uiPriority w:val="99"/>
    <w:semiHidden/>
    <w:unhideWhenUsed/>
    <w:rsid w:val="00063C4C"/>
    <w:pPr>
      <w:numPr>
        <w:numId w:val="9"/>
      </w:numPr>
      <w:contextualSpacing/>
    </w:pPr>
  </w:style>
  <w:style w:type="paragraph" w:styleId="ListNumber2">
    <w:name w:val="List Number 2"/>
    <w:basedOn w:val="Normal"/>
    <w:uiPriority w:val="99"/>
    <w:semiHidden/>
    <w:unhideWhenUsed/>
    <w:rsid w:val="00063C4C"/>
    <w:pPr>
      <w:numPr>
        <w:numId w:val="10"/>
      </w:numPr>
      <w:contextualSpacing/>
    </w:pPr>
  </w:style>
  <w:style w:type="paragraph" w:styleId="ListNumber3">
    <w:name w:val="List Number 3"/>
    <w:basedOn w:val="Normal"/>
    <w:uiPriority w:val="99"/>
    <w:semiHidden/>
    <w:unhideWhenUsed/>
    <w:rsid w:val="00063C4C"/>
    <w:pPr>
      <w:numPr>
        <w:numId w:val="11"/>
      </w:numPr>
      <w:contextualSpacing/>
    </w:pPr>
  </w:style>
  <w:style w:type="paragraph" w:styleId="ListNumber4">
    <w:name w:val="List Number 4"/>
    <w:basedOn w:val="Normal"/>
    <w:uiPriority w:val="99"/>
    <w:semiHidden/>
    <w:unhideWhenUsed/>
    <w:rsid w:val="00063C4C"/>
    <w:pPr>
      <w:numPr>
        <w:numId w:val="12"/>
      </w:numPr>
      <w:contextualSpacing/>
    </w:pPr>
  </w:style>
  <w:style w:type="paragraph" w:styleId="ListNumber5">
    <w:name w:val="List Number 5"/>
    <w:basedOn w:val="Normal"/>
    <w:uiPriority w:val="99"/>
    <w:semiHidden/>
    <w:unhideWhenUsed/>
    <w:rsid w:val="00063C4C"/>
    <w:pPr>
      <w:numPr>
        <w:numId w:val="13"/>
      </w:numPr>
      <w:contextualSpacing/>
    </w:pPr>
  </w:style>
  <w:style w:type="paragraph" w:styleId="ListParagraph">
    <w:name w:val="List Paragraph"/>
    <w:basedOn w:val="Normal"/>
    <w:uiPriority w:val="34"/>
    <w:qFormat/>
    <w:rsid w:val="00063C4C"/>
    <w:pPr>
      <w:ind w:left="720"/>
    </w:pPr>
  </w:style>
  <w:style w:type="paragraph" w:styleId="MacroText">
    <w:name w:val="macro"/>
    <w:link w:val="MacroTextChar"/>
    <w:uiPriority w:val="99"/>
    <w:semiHidden/>
    <w:unhideWhenUsed/>
    <w:rsid w:val="00063C4C"/>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pl-PL" w:eastAsia="zh-CN"/>
    </w:rPr>
  </w:style>
  <w:style w:type="character" w:customStyle="1" w:styleId="MacroTextChar">
    <w:name w:val="Macro Text Char"/>
    <w:link w:val="MacroText"/>
    <w:uiPriority w:val="99"/>
    <w:semiHidden/>
    <w:rsid w:val="00063C4C"/>
    <w:rPr>
      <w:rFonts w:ascii="Courier New" w:hAnsi="Courier New" w:cs="Courier New"/>
      <w:lang w:val="pl-PL"/>
    </w:rPr>
  </w:style>
  <w:style w:type="paragraph" w:styleId="MessageHeader">
    <w:name w:val="Message Header"/>
    <w:basedOn w:val="Normal"/>
    <w:link w:val="MessageHeaderChar"/>
    <w:uiPriority w:val="99"/>
    <w:semiHidden/>
    <w:unhideWhenUsed/>
    <w:rsid w:val="00063C4C"/>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DengXian Light" w:hAnsi="Calibri Light"/>
      <w:sz w:val="24"/>
      <w:szCs w:val="24"/>
    </w:rPr>
  </w:style>
  <w:style w:type="character" w:customStyle="1" w:styleId="MessageHeaderChar">
    <w:name w:val="Message Header Char"/>
    <w:link w:val="MessageHeader"/>
    <w:uiPriority w:val="99"/>
    <w:semiHidden/>
    <w:rsid w:val="00063C4C"/>
    <w:rPr>
      <w:rFonts w:ascii="Calibri Light" w:eastAsia="DengXian Light" w:hAnsi="Calibri Light" w:cs="Times New Roman"/>
      <w:sz w:val="24"/>
      <w:szCs w:val="24"/>
      <w:shd w:val="pct20" w:color="auto" w:fill="auto"/>
      <w:lang w:val="pl-PL"/>
    </w:rPr>
  </w:style>
  <w:style w:type="paragraph" w:styleId="NoSpacing">
    <w:name w:val="No Spacing"/>
    <w:uiPriority w:val="1"/>
    <w:qFormat/>
    <w:rsid w:val="00063C4C"/>
    <w:pPr>
      <w:suppressAutoHyphens/>
    </w:pPr>
    <w:rPr>
      <w:rFonts w:ascii="Times New Roman" w:hAnsi="Times New Roman"/>
      <w:sz w:val="22"/>
      <w:szCs w:val="22"/>
      <w:lang w:val="pl-PL" w:eastAsia="zh-CN"/>
    </w:rPr>
  </w:style>
  <w:style w:type="paragraph" w:styleId="NormalWeb">
    <w:name w:val="Normal (Web)"/>
    <w:basedOn w:val="Normal"/>
    <w:uiPriority w:val="99"/>
    <w:semiHidden/>
    <w:unhideWhenUsed/>
    <w:rsid w:val="00063C4C"/>
    <w:rPr>
      <w:sz w:val="24"/>
      <w:szCs w:val="24"/>
    </w:rPr>
  </w:style>
  <w:style w:type="paragraph" w:styleId="NoteHeading">
    <w:name w:val="Note Heading"/>
    <w:basedOn w:val="Normal"/>
    <w:next w:val="Normal"/>
    <w:link w:val="NoteHeadingChar"/>
    <w:uiPriority w:val="99"/>
    <w:semiHidden/>
    <w:unhideWhenUsed/>
    <w:rsid w:val="00063C4C"/>
  </w:style>
  <w:style w:type="character" w:customStyle="1" w:styleId="NoteHeadingChar">
    <w:name w:val="Note Heading Char"/>
    <w:link w:val="NoteHeading"/>
    <w:uiPriority w:val="99"/>
    <w:semiHidden/>
    <w:rsid w:val="00063C4C"/>
    <w:rPr>
      <w:rFonts w:ascii="Times New Roman" w:hAnsi="Times New Roman"/>
      <w:sz w:val="22"/>
      <w:szCs w:val="22"/>
      <w:lang w:val="pl-PL"/>
    </w:rPr>
  </w:style>
  <w:style w:type="paragraph" w:styleId="PlainText">
    <w:name w:val="Plain Text"/>
    <w:basedOn w:val="Normal"/>
    <w:link w:val="PlainTextChar"/>
    <w:uiPriority w:val="99"/>
    <w:semiHidden/>
    <w:unhideWhenUsed/>
    <w:rsid w:val="00063C4C"/>
    <w:rPr>
      <w:rFonts w:ascii="Courier New" w:hAnsi="Courier New" w:cs="Courier New"/>
      <w:sz w:val="20"/>
      <w:szCs w:val="20"/>
    </w:rPr>
  </w:style>
  <w:style w:type="character" w:customStyle="1" w:styleId="PlainTextChar">
    <w:name w:val="Plain Text Char"/>
    <w:link w:val="PlainText"/>
    <w:uiPriority w:val="99"/>
    <w:semiHidden/>
    <w:rsid w:val="00063C4C"/>
    <w:rPr>
      <w:rFonts w:ascii="Courier New" w:hAnsi="Courier New" w:cs="Courier New"/>
      <w:lang w:val="pl-PL"/>
    </w:rPr>
  </w:style>
  <w:style w:type="paragraph" w:styleId="Quote">
    <w:name w:val="Quote"/>
    <w:basedOn w:val="Normal"/>
    <w:next w:val="Normal"/>
    <w:link w:val="QuoteChar"/>
    <w:uiPriority w:val="29"/>
    <w:qFormat/>
    <w:rsid w:val="00063C4C"/>
    <w:pPr>
      <w:spacing w:before="200" w:after="160"/>
      <w:ind w:left="864" w:right="864"/>
      <w:jc w:val="center"/>
    </w:pPr>
    <w:rPr>
      <w:i/>
      <w:iCs/>
      <w:color w:val="404040"/>
    </w:rPr>
  </w:style>
  <w:style w:type="character" w:customStyle="1" w:styleId="QuoteChar">
    <w:name w:val="Quote Char"/>
    <w:link w:val="Quote"/>
    <w:uiPriority w:val="29"/>
    <w:rsid w:val="00063C4C"/>
    <w:rPr>
      <w:rFonts w:ascii="Times New Roman" w:hAnsi="Times New Roman"/>
      <w:i/>
      <w:iCs/>
      <w:color w:val="404040"/>
      <w:sz w:val="22"/>
      <w:szCs w:val="22"/>
      <w:lang w:val="pl-PL"/>
    </w:rPr>
  </w:style>
  <w:style w:type="paragraph" w:styleId="Salutation">
    <w:name w:val="Salutation"/>
    <w:basedOn w:val="Normal"/>
    <w:next w:val="Normal"/>
    <w:link w:val="SalutationChar"/>
    <w:uiPriority w:val="99"/>
    <w:semiHidden/>
    <w:unhideWhenUsed/>
    <w:rsid w:val="00063C4C"/>
  </w:style>
  <w:style w:type="character" w:customStyle="1" w:styleId="SalutationChar">
    <w:name w:val="Salutation Char"/>
    <w:link w:val="Salutation"/>
    <w:uiPriority w:val="99"/>
    <w:semiHidden/>
    <w:rsid w:val="00063C4C"/>
    <w:rPr>
      <w:rFonts w:ascii="Times New Roman" w:hAnsi="Times New Roman"/>
      <w:sz w:val="22"/>
      <w:szCs w:val="22"/>
      <w:lang w:val="pl-PL"/>
    </w:rPr>
  </w:style>
  <w:style w:type="paragraph" w:styleId="Signature">
    <w:name w:val="Signature"/>
    <w:basedOn w:val="Normal"/>
    <w:link w:val="SignatureChar"/>
    <w:uiPriority w:val="99"/>
    <w:semiHidden/>
    <w:unhideWhenUsed/>
    <w:rsid w:val="00063C4C"/>
    <w:pPr>
      <w:ind w:left="4320"/>
    </w:pPr>
  </w:style>
  <w:style w:type="character" w:customStyle="1" w:styleId="SignatureChar">
    <w:name w:val="Signature Char"/>
    <w:link w:val="Signature"/>
    <w:uiPriority w:val="99"/>
    <w:semiHidden/>
    <w:rsid w:val="00063C4C"/>
    <w:rPr>
      <w:rFonts w:ascii="Times New Roman" w:hAnsi="Times New Roman"/>
      <w:sz w:val="22"/>
      <w:szCs w:val="22"/>
      <w:lang w:val="pl-PL"/>
    </w:rPr>
  </w:style>
  <w:style w:type="paragraph" w:styleId="Subtitle">
    <w:name w:val="Subtitle"/>
    <w:basedOn w:val="Normal"/>
    <w:next w:val="Normal"/>
    <w:link w:val="SubtitleChar"/>
    <w:uiPriority w:val="11"/>
    <w:qFormat/>
    <w:rsid w:val="00063C4C"/>
    <w:pPr>
      <w:spacing w:after="60"/>
      <w:jc w:val="center"/>
      <w:outlineLvl w:val="1"/>
    </w:pPr>
    <w:rPr>
      <w:rFonts w:ascii="Calibri Light" w:eastAsia="DengXian Light" w:hAnsi="Calibri Light"/>
      <w:sz w:val="24"/>
      <w:szCs w:val="24"/>
    </w:rPr>
  </w:style>
  <w:style w:type="character" w:customStyle="1" w:styleId="SubtitleChar">
    <w:name w:val="Subtitle Char"/>
    <w:link w:val="Subtitle"/>
    <w:uiPriority w:val="11"/>
    <w:rsid w:val="00063C4C"/>
    <w:rPr>
      <w:rFonts w:ascii="Calibri Light" w:eastAsia="DengXian Light" w:hAnsi="Calibri Light" w:cs="Times New Roman"/>
      <w:sz w:val="24"/>
      <w:szCs w:val="24"/>
      <w:lang w:val="pl-PL"/>
    </w:rPr>
  </w:style>
  <w:style w:type="paragraph" w:styleId="TableofAuthorities">
    <w:name w:val="table of authorities"/>
    <w:basedOn w:val="Normal"/>
    <w:next w:val="Normal"/>
    <w:uiPriority w:val="99"/>
    <w:semiHidden/>
    <w:unhideWhenUsed/>
    <w:rsid w:val="00063C4C"/>
    <w:pPr>
      <w:ind w:left="220" w:hanging="220"/>
    </w:pPr>
  </w:style>
  <w:style w:type="paragraph" w:styleId="TableofFigures">
    <w:name w:val="table of figures"/>
    <w:basedOn w:val="Normal"/>
    <w:next w:val="Normal"/>
    <w:uiPriority w:val="99"/>
    <w:semiHidden/>
    <w:unhideWhenUsed/>
    <w:rsid w:val="00063C4C"/>
  </w:style>
  <w:style w:type="paragraph" w:styleId="TOAHeading">
    <w:name w:val="toa heading"/>
    <w:basedOn w:val="Normal"/>
    <w:next w:val="Normal"/>
    <w:uiPriority w:val="99"/>
    <w:semiHidden/>
    <w:unhideWhenUsed/>
    <w:rsid w:val="00063C4C"/>
    <w:pPr>
      <w:spacing w:before="120"/>
    </w:pPr>
    <w:rPr>
      <w:rFonts w:ascii="Calibri Light" w:eastAsia="DengXian Light" w:hAnsi="Calibri Light"/>
      <w:b/>
      <w:bCs/>
      <w:sz w:val="24"/>
      <w:szCs w:val="24"/>
    </w:rPr>
  </w:style>
  <w:style w:type="paragraph" w:styleId="TOC1">
    <w:name w:val="toc 1"/>
    <w:basedOn w:val="Normal"/>
    <w:next w:val="Normal"/>
    <w:autoRedefine/>
    <w:uiPriority w:val="39"/>
    <w:semiHidden/>
    <w:unhideWhenUsed/>
    <w:rsid w:val="00063C4C"/>
  </w:style>
  <w:style w:type="paragraph" w:styleId="TOC2">
    <w:name w:val="toc 2"/>
    <w:basedOn w:val="Normal"/>
    <w:next w:val="Normal"/>
    <w:autoRedefine/>
    <w:uiPriority w:val="39"/>
    <w:semiHidden/>
    <w:unhideWhenUsed/>
    <w:rsid w:val="00063C4C"/>
    <w:pPr>
      <w:ind w:left="220"/>
    </w:pPr>
  </w:style>
  <w:style w:type="paragraph" w:styleId="TOC3">
    <w:name w:val="toc 3"/>
    <w:basedOn w:val="Normal"/>
    <w:next w:val="Normal"/>
    <w:autoRedefine/>
    <w:uiPriority w:val="39"/>
    <w:semiHidden/>
    <w:unhideWhenUsed/>
    <w:rsid w:val="00063C4C"/>
    <w:pPr>
      <w:ind w:left="440"/>
    </w:pPr>
  </w:style>
  <w:style w:type="paragraph" w:styleId="TOC4">
    <w:name w:val="toc 4"/>
    <w:basedOn w:val="Normal"/>
    <w:next w:val="Normal"/>
    <w:autoRedefine/>
    <w:uiPriority w:val="39"/>
    <w:semiHidden/>
    <w:unhideWhenUsed/>
    <w:rsid w:val="00063C4C"/>
    <w:pPr>
      <w:ind w:left="660"/>
    </w:pPr>
  </w:style>
  <w:style w:type="paragraph" w:styleId="TOC5">
    <w:name w:val="toc 5"/>
    <w:basedOn w:val="Normal"/>
    <w:next w:val="Normal"/>
    <w:autoRedefine/>
    <w:uiPriority w:val="39"/>
    <w:semiHidden/>
    <w:unhideWhenUsed/>
    <w:rsid w:val="00063C4C"/>
    <w:pPr>
      <w:ind w:left="880"/>
    </w:pPr>
  </w:style>
  <w:style w:type="paragraph" w:styleId="TOC6">
    <w:name w:val="toc 6"/>
    <w:basedOn w:val="Normal"/>
    <w:next w:val="Normal"/>
    <w:autoRedefine/>
    <w:uiPriority w:val="39"/>
    <w:semiHidden/>
    <w:unhideWhenUsed/>
    <w:rsid w:val="00063C4C"/>
    <w:pPr>
      <w:ind w:left="1100"/>
    </w:pPr>
  </w:style>
  <w:style w:type="paragraph" w:styleId="TOC7">
    <w:name w:val="toc 7"/>
    <w:basedOn w:val="Normal"/>
    <w:next w:val="Normal"/>
    <w:autoRedefine/>
    <w:uiPriority w:val="39"/>
    <w:semiHidden/>
    <w:unhideWhenUsed/>
    <w:rsid w:val="00063C4C"/>
    <w:pPr>
      <w:ind w:left="1320"/>
    </w:pPr>
  </w:style>
  <w:style w:type="paragraph" w:styleId="TOC8">
    <w:name w:val="toc 8"/>
    <w:basedOn w:val="Normal"/>
    <w:next w:val="Normal"/>
    <w:autoRedefine/>
    <w:uiPriority w:val="39"/>
    <w:semiHidden/>
    <w:unhideWhenUsed/>
    <w:rsid w:val="00063C4C"/>
    <w:pPr>
      <w:ind w:left="1540"/>
    </w:pPr>
  </w:style>
  <w:style w:type="paragraph" w:styleId="TOC9">
    <w:name w:val="toc 9"/>
    <w:basedOn w:val="Normal"/>
    <w:next w:val="Normal"/>
    <w:autoRedefine/>
    <w:uiPriority w:val="39"/>
    <w:semiHidden/>
    <w:unhideWhenUsed/>
    <w:rsid w:val="00063C4C"/>
    <w:pPr>
      <w:ind w:left="1760"/>
    </w:pPr>
  </w:style>
  <w:style w:type="paragraph" w:styleId="TOCHeading">
    <w:name w:val="TOC Heading"/>
    <w:basedOn w:val="Heading1"/>
    <w:next w:val="Normal"/>
    <w:uiPriority w:val="39"/>
    <w:semiHidden/>
    <w:unhideWhenUsed/>
    <w:qFormat/>
    <w:rsid w:val="00063C4C"/>
    <w:pPr>
      <w:keepLines w:val="0"/>
      <w:spacing w:before="240" w:after="60"/>
      <w:ind w:left="0" w:firstLine="0"/>
      <w:outlineLvl w:val="9"/>
    </w:pPr>
    <w:rPr>
      <w:rFonts w:ascii="Calibri Light" w:eastAsia="DengXian Light" w:hAnsi="Calibri Light"/>
      <w:kern w:val="32"/>
      <w:sz w:val="32"/>
      <w:szCs w:val="32"/>
    </w:rPr>
  </w:style>
  <w:style w:type="paragraph" w:customStyle="1" w:styleId="HeadingStrongCentred">
    <w:name w:val="Heading Strong Centred"/>
    <w:basedOn w:val="HeadingStrong"/>
    <w:qFormat/>
    <w:rsid w:val="00063C4C"/>
    <w:pPr>
      <w:jc w:val="center"/>
    </w:pPr>
  </w:style>
  <w:style w:type="character" w:customStyle="1" w:styleId="UnresolvedMention1">
    <w:name w:val="Unresolved Mention1"/>
    <w:uiPriority w:val="99"/>
    <w:semiHidden/>
    <w:unhideWhenUsed/>
    <w:rsid w:val="00063C4C"/>
    <w:rPr>
      <w:color w:val="605E5C"/>
      <w:shd w:val="clear" w:color="auto" w:fill="E1DFDD"/>
    </w:rPr>
  </w:style>
  <w:style w:type="paragraph" w:customStyle="1" w:styleId="TitleA">
    <w:name w:val="Title A"/>
    <w:basedOn w:val="Title"/>
    <w:qFormat/>
    <w:rsid w:val="00063C4C"/>
  </w:style>
  <w:style w:type="paragraph" w:customStyle="1" w:styleId="TitleB">
    <w:name w:val="Title B"/>
    <w:basedOn w:val="Heading1"/>
    <w:qFormat/>
    <w:rsid w:val="00063C4C"/>
  </w:style>
  <w:style w:type="character" w:customStyle="1" w:styleId="StrongUnderline">
    <w:name w:val="Strong Underline"/>
    <w:uiPriority w:val="1"/>
    <w:qFormat/>
    <w:rsid w:val="00063C4C"/>
    <w:rPr>
      <w:b/>
      <w:bCs/>
      <w:u w:val="single"/>
    </w:rPr>
  </w:style>
  <w:style w:type="character" w:customStyle="1" w:styleId="EmphasisStrongUnd">
    <w:name w:val="Emphasis Strong Und"/>
    <w:uiPriority w:val="1"/>
    <w:qFormat/>
    <w:rsid w:val="00063C4C"/>
    <w:rPr>
      <w:b/>
      <w:bCs/>
      <w:i/>
      <w:iCs/>
      <w:u w:val="single"/>
    </w:rPr>
  </w:style>
  <w:style w:type="paragraph" w:customStyle="1" w:styleId="normal10pt">
    <w:name w:val="normal_10pt"/>
    <w:basedOn w:val="Normal"/>
    <w:qFormat/>
    <w:rsid w:val="00063C4C"/>
    <w:rPr>
      <w:sz w:val="20"/>
    </w:rPr>
  </w:style>
  <w:style w:type="paragraph" w:customStyle="1" w:styleId="Normal10pt0">
    <w:name w:val="Normal 10pt"/>
    <w:basedOn w:val="Normal"/>
    <w:qFormat/>
    <w:rsid w:val="00063C4C"/>
    <w:pPr>
      <w:ind w:left="142" w:hanging="142"/>
    </w:pPr>
    <w:rPr>
      <w:sz w:val="20"/>
    </w:rPr>
  </w:style>
  <w:style w:type="paragraph" w:styleId="Revision">
    <w:name w:val="Revision"/>
    <w:hidden/>
    <w:uiPriority w:val="99"/>
    <w:semiHidden/>
    <w:rsid w:val="00063C4C"/>
    <w:rPr>
      <w:rFonts w:ascii="Times New Roman" w:hAnsi="Times New Roman"/>
      <w:sz w:val="22"/>
      <w:szCs w:val="22"/>
      <w:lang w:val="pl-PL" w:eastAsia="zh-CN"/>
    </w:rPr>
  </w:style>
  <w:style w:type="character" w:styleId="CommentReference">
    <w:name w:val="annotation reference"/>
    <w:unhideWhenUsed/>
    <w:rsid w:val="00063C4C"/>
    <w:rPr>
      <w:sz w:val="16"/>
      <w:szCs w:val="16"/>
    </w:rPr>
  </w:style>
  <w:style w:type="paragraph" w:customStyle="1" w:styleId="ParaText">
    <w:name w:val="Para Text"/>
    <w:basedOn w:val="Normal"/>
    <w:qFormat/>
    <w:rsid w:val="00D51BF3"/>
    <w:pPr>
      <w:suppressAutoHyphens w:val="0"/>
      <w:spacing w:before="160" w:after="200" w:line="320" w:lineRule="exact"/>
    </w:pPr>
    <w:rPr>
      <w:rFonts w:eastAsia="Calibri"/>
      <w:sz w:val="24"/>
      <w:szCs w:val="24"/>
      <w:lang w:val="en-US" w:eastAsia="en-US"/>
    </w:rPr>
  </w:style>
  <w:style w:type="paragraph" w:customStyle="1" w:styleId="TableFigureNote">
    <w:name w:val="Table/Figure Note"/>
    <w:basedOn w:val="Normal"/>
    <w:link w:val="TableFigureNoteChar"/>
    <w:rsid w:val="00D51BF3"/>
    <w:pPr>
      <w:suppressAutoHyphens w:val="0"/>
      <w:spacing w:before="40" w:line="220" w:lineRule="exact"/>
      <w:ind w:left="144" w:hanging="144"/>
      <w:jc w:val="both"/>
    </w:pPr>
    <w:rPr>
      <w:rFonts w:eastAsia="Times New Roman"/>
      <w:sz w:val="20"/>
      <w:szCs w:val="24"/>
      <w:lang w:val="en-US" w:eastAsia="en-US"/>
    </w:rPr>
  </w:style>
  <w:style w:type="character" w:customStyle="1" w:styleId="TableFigureNoteChar">
    <w:name w:val="Table/Figure Note Char"/>
    <w:link w:val="TableFigureNote"/>
    <w:locked/>
    <w:rsid w:val="00D51BF3"/>
    <w:rPr>
      <w:rFonts w:ascii="Times New Roman" w:eastAsia="Times New Roman" w:hAnsi="Times New Roman"/>
      <w:szCs w:val="24"/>
      <w:lang w:val="en-US" w:eastAsia="en-US"/>
    </w:rPr>
  </w:style>
  <w:style w:type="character" w:customStyle="1" w:styleId="y2iqfc">
    <w:name w:val="y2iqfc"/>
    <w:basedOn w:val="DefaultParagraphFont"/>
    <w:rsid w:val="00736CF7"/>
  </w:style>
  <w:style w:type="character" w:customStyle="1" w:styleId="NichtaufgelsteErwhnung1">
    <w:name w:val="Nicht aufgelöste Erwähnung1"/>
    <w:basedOn w:val="DefaultParagraphFont"/>
    <w:uiPriority w:val="99"/>
    <w:semiHidden/>
    <w:unhideWhenUsed/>
    <w:rsid w:val="00B95FAE"/>
    <w:rPr>
      <w:color w:val="605E5C"/>
      <w:shd w:val="clear" w:color="auto" w:fill="E1DFDD"/>
    </w:rPr>
  </w:style>
  <w:style w:type="character" w:styleId="UnresolvedMention">
    <w:name w:val="Unresolved Mention"/>
    <w:basedOn w:val="DefaultParagraphFont"/>
    <w:uiPriority w:val="99"/>
    <w:semiHidden/>
    <w:unhideWhenUsed/>
    <w:rsid w:val="00BF1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13357">
      <w:bodyDiv w:val="1"/>
      <w:marLeft w:val="0"/>
      <w:marRight w:val="0"/>
      <w:marTop w:val="0"/>
      <w:marBottom w:val="0"/>
      <w:divBdr>
        <w:top w:val="none" w:sz="0" w:space="0" w:color="auto"/>
        <w:left w:val="none" w:sz="0" w:space="0" w:color="auto"/>
        <w:bottom w:val="none" w:sz="0" w:space="0" w:color="auto"/>
        <w:right w:val="none" w:sz="0" w:space="0" w:color="auto"/>
      </w:divBdr>
    </w:div>
    <w:div w:id="702945522">
      <w:bodyDiv w:val="1"/>
      <w:marLeft w:val="0"/>
      <w:marRight w:val="0"/>
      <w:marTop w:val="0"/>
      <w:marBottom w:val="0"/>
      <w:divBdr>
        <w:top w:val="none" w:sz="0" w:space="0" w:color="auto"/>
        <w:left w:val="none" w:sz="0" w:space="0" w:color="auto"/>
        <w:bottom w:val="none" w:sz="0" w:space="0" w:color="auto"/>
        <w:right w:val="none" w:sz="0" w:space="0" w:color="auto"/>
      </w:divBdr>
    </w:div>
    <w:div w:id="1374305133">
      <w:bodyDiv w:val="1"/>
      <w:marLeft w:val="0"/>
      <w:marRight w:val="0"/>
      <w:marTop w:val="0"/>
      <w:marBottom w:val="0"/>
      <w:divBdr>
        <w:top w:val="none" w:sz="0" w:space="0" w:color="auto"/>
        <w:left w:val="none" w:sz="0" w:space="0" w:color="auto"/>
        <w:bottom w:val="none" w:sz="0" w:space="0" w:color="auto"/>
        <w:right w:val="none" w:sz="0" w:space="0" w:color="auto"/>
      </w:divBdr>
    </w:div>
    <w:div w:id="1679845261">
      <w:bodyDiv w:val="1"/>
      <w:marLeft w:val="0"/>
      <w:marRight w:val="0"/>
      <w:marTop w:val="0"/>
      <w:marBottom w:val="0"/>
      <w:divBdr>
        <w:top w:val="none" w:sz="0" w:space="0" w:color="auto"/>
        <w:left w:val="none" w:sz="0" w:space="0" w:color="auto"/>
        <w:bottom w:val="none" w:sz="0" w:space="0" w:color="auto"/>
        <w:right w:val="none" w:sz="0" w:space="0" w:color="auto"/>
      </w:divBdr>
    </w:div>
    <w:div w:id="20517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smz.ezdrowie.gov.pl"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www.ema.europa.e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0B7FD60883B4595285877F6B2DA8F" ma:contentTypeVersion="8" ma:contentTypeDescription="Create a new document." ma:contentTypeScope="" ma:versionID="177af0cbd6927adbd166059d41457af4">
  <xsd:schema xmlns:xsd="http://www.w3.org/2001/XMLSchema" xmlns:xs="http://www.w3.org/2001/XMLSchema" xmlns:p="http://schemas.microsoft.com/office/2006/metadata/properties" xmlns:ns2="7f8758ac-3d05-471f-b31d-1acee670e100" xmlns:ns3="8078488c-0acb-4e0f-be5f-8fa19057aa1b" targetNamespace="http://schemas.microsoft.com/office/2006/metadata/properties" ma:root="true" ma:fieldsID="14ea0be3238246de484323085d704700" ns2:_="" ns3:_="">
    <xsd:import namespace="7f8758ac-3d05-471f-b31d-1acee670e100"/>
    <xsd:import namespace="8078488c-0acb-4e0f-be5f-8fa19057aa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758ac-3d05-471f-b31d-1acee670e1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8488c-0acb-4e0f-be5f-8fa19057aa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f8758ac-3d05-471f-b31d-1acee670e100">
      <UserInfo>
        <DisplayName/>
        <AccountId xsi:nil="true"/>
        <AccountType/>
      </UserInfo>
    </SharedWithUsers>
  </documentManagement>
</p:properties>
</file>

<file path=customXml/itemProps1.xml><?xml version="1.0" encoding="utf-8"?>
<ds:datastoreItem xmlns:ds="http://schemas.openxmlformats.org/officeDocument/2006/customXml" ds:itemID="{75931907-96EF-445F-94C9-8B0E008182DB}">
  <ds:schemaRefs>
    <ds:schemaRef ds:uri="http://schemas.microsoft.com/sharepoint/v3/contenttype/forms"/>
  </ds:schemaRefs>
</ds:datastoreItem>
</file>

<file path=customXml/itemProps2.xml><?xml version="1.0" encoding="utf-8"?>
<ds:datastoreItem xmlns:ds="http://schemas.openxmlformats.org/officeDocument/2006/customXml" ds:itemID="{A724DB51-0562-42C5-A6EE-BF83B74C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758ac-3d05-471f-b31d-1acee670e100"/>
    <ds:schemaRef ds:uri="8078488c-0acb-4e0f-be5f-8fa19057a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D1DEF-65D0-4819-950C-6342880C0E12}">
  <ds:schemaRefs>
    <ds:schemaRef ds:uri="http://schemas.openxmlformats.org/officeDocument/2006/bibliography"/>
  </ds:schemaRefs>
</ds:datastoreItem>
</file>

<file path=customXml/itemProps4.xml><?xml version="1.0" encoding="utf-8"?>
<ds:datastoreItem xmlns:ds="http://schemas.openxmlformats.org/officeDocument/2006/customXml" ds:itemID="{E0FDAF01-BF8C-42F4-98E4-C51B344938EE}">
  <ds:schemaRefs>
    <ds:schemaRef ds:uri="http://purl.org/dc/terms/"/>
    <ds:schemaRef ds:uri="8078488c-0acb-4e0f-be5f-8fa19057aa1b"/>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7f8758ac-3d05-471f-b31d-1acee670e10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7057</Words>
  <Characters>45503</Characters>
  <Application>Microsoft Office Word</Application>
  <DocSecurity>0</DocSecurity>
  <PresentationFormat/>
  <Lines>379</Lines>
  <Paragraphs>104</Paragraphs>
  <ScaleCrop>false</ScaleCrop>
  <HeadingPairs>
    <vt:vector size="6" baseType="variant">
      <vt:variant>
        <vt:lpstr>Titel</vt:lpstr>
      </vt:variant>
      <vt:variant>
        <vt:i4>1</vt:i4>
      </vt:variant>
      <vt:variant>
        <vt:lpstr>Tytuł</vt:lpstr>
      </vt:variant>
      <vt:variant>
        <vt:i4>1</vt:i4>
      </vt:variant>
      <vt:variant>
        <vt:lpstr>Title</vt:lpstr>
      </vt:variant>
      <vt:variant>
        <vt:i4>1</vt:i4>
      </vt:variant>
    </vt:vector>
  </HeadingPairs>
  <TitlesOfParts>
    <vt:vector size="3" baseType="lpstr">
      <vt:lpstr>Vaxchora, INN-Vibrio cholerae</vt:lpstr>
      <vt:lpstr>Vaxchora, INN-Vibrio cholerae</vt:lpstr>
      <vt:lpstr>Vaxchora, INN-Vibrio cholerae</vt:lpstr>
    </vt:vector>
  </TitlesOfParts>
  <Manager/>
  <Company/>
  <LinksUpToDate>false</LinksUpToDate>
  <CharactersWithSpaces>52456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Vaxchora, Cholera Vaccine (recombinant, live, oral)</dc:title>
  <dc:subject>EPAR</dc:subject>
  <dc:creator>CHMP</dc:creator>
  <cp:keywords>Vaxchora, Cholera Vaccine (recombinant, live, oral)</cp:keywords>
  <dc:description/>
  <cp:lastModifiedBy>Mafalda Ferreira</cp:lastModifiedBy>
  <cp:revision>22</cp:revision>
  <dcterms:created xsi:type="dcterms:W3CDTF">2024-12-08T13:45:00Z</dcterms:created>
  <dcterms:modified xsi:type="dcterms:W3CDTF">2025-12-19T15:40:00Z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0x010100B7E0B7FD60883B4595285877F6B2DA8F</vt:lpwstr>
  </property>
</Properties>
</file>